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default" w:ascii="Times New Roman" w:hAnsi="Times New Roman" w:eastAsia="宋体" w:cs="Times New Roman"/>
          <w:b/>
          <w:i/>
          <w:iCs/>
          <w:snapToGrid w:val="0"/>
          <w:color w:val="auto"/>
          <w:kern w:val="0"/>
          <w:sz w:val="30"/>
          <w:szCs w:val="30"/>
        </w:rPr>
      </w:pPr>
      <w:r>
        <w:rPr>
          <w:rFonts w:hint="default" w:ascii="Times New Roman" w:hAnsi="Times New Roman" w:eastAsia="宋体" w:cs="Times New Roman"/>
          <w:b/>
          <w:snapToGrid w:val="0"/>
          <w:color w:val="auto"/>
          <w:kern w:val="0"/>
          <w:sz w:val="30"/>
          <w:szCs w:val="30"/>
          <w:lang w:val="en-US" w:eastAsia="zh-CN"/>
        </w:rPr>
        <w:t>施工图</w:t>
      </w:r>
      <w:r>
        <w:rPr>
          <w:rFonts w:hint="default" w:ascii="Times New Roman" w:hAnsi="Times New Roman" w:eastAsia="宋体" w:cs="Times New Roman"/>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default" w:ascii="Times New Roman" w:hAnsi="Times New Roman" w:eastAsia="宋体" w:cs="Times New Roman"/>
          <w:i w:val="0"/>
          <w:iCs w:val="0"/>
          <w:color w:val="auto"/>
        </w:rPr>
      </w:pPr>
      <w:r>
        <w:rPr>
          <w:rFonts w:hint="default" w:ascii="Times New Roman" w:hAnsi="Times New Roman" w:eastAsia="宋体" w:cs="Times New Roman"/>
          <w:i w:val="0"/>
          <w:iCs w:val="0"/>
          <w:color w:val="auto"/>
          <w:sz w:val="24"/>
          <w:szCs w:val="24"/>
        </w:rPr>
        <w:t>工程概况</w:t>
      </w:r>
    </w:p>
    <w:p w14:paraId="4FDBAC7F">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本项目位于</w:t>
      </w:r>
      <w:r>
        <w:rPr>
          <w:rFonts w:hint="eastAsia" w:cs="Times New Roman"/>
          <w:snapToGrid w:val="0"/>
          <w:color w:val="auto"/>
          <w:kern w:val="0"/>
          <w:sz w:val="24"/>
          <w:szCs w:val="24"/>
          <w:lang w:val="en-US" w:eastAsia="zh-CN"/>
        </w:rPr>
        <w:t>柳州市柳江区里高镇果郎村果郎屯，现有</w:t>
      </w:r>
      <w:r>
        <w:rPr>
          <w:rFonts w:hint="default" w:ascii="Times New Roman" w:hAnsi="Times New Roman" w:eastAsia="宋体" w:cs="Times New Roman"/>
          <w:snapToGrid w:val="0"/>
          <w:color w:val="auto"/>
          <w:kern w:val="0"/>
          <w:sz w:val="24"/>
          <w:szCs w:val="24"/>
          <w:lang w:val="en-US" w:eastAsia="zh-CN"/>
        </w:rPr>
        <w:t>户数约</w:t>
      </w:r>
      <w:r>
        <w:rPr>
          <w:rFonts w:hint="eastAsia" w:cs="Times New Roman"/>
          <w:snapToGrid w:val="0"/>
          <w:color w:val="auto"/>
          <w:kern w:val="0"/>
          <w:sz w:val="24"/>
          <w:szCs w:val="24"/>
          <w:lang w:val="en-US" w:eastAsia="zh-CN"/>
        </w:rPr>
        <w:t>110</w:t>
      </w:r>
      <w:r>
        <w:rPr>
          <w:rFonts w:hint="default" w:ascii="Times New Roman" w:hAnsi="Times New Roman" w:eastAsia="宋体" w:cs="Times New Roman"/>
          <w:snapToGrid w:val="0"/>
          <w:color w:val="auto"/>
          <w:kern w:val="0"/>
          <w:sz w:val="24"/>
          <w:szCs w:val="24"/>
          <w:lang w:val="en-US" w:eastAsia="zh-CN"/>
        </w:rPr>
        <w:t>户，</w:t>
      </w:r>
      <w:r>
        <w:rPr>
          <w:rFonts w:hint="eastAsia" w:cs="Times New Roman"/>
          <w:snapToGrid w:val="0"/>
          <w:color w:val="auto"/>
          <w:kern w:val="0"/>
          <w:sz w:val="24"/>
          <w:szCs w:val="24"/>
          <w:lang w:val="en-US" w:eastAsia="zh-CN"/>
        </w:rPr>
        <w:t>常住</w:t>
      </w:r>
      <w:r>
        <w:rPr>
          <w:rFonts w:hint="default" w:ascii="Times New Roman" w:hAnsi="Times New Roman" w:eastAsia="宋体" w:cs="Times New Roman"/>
          <w:snapToGrid w:val="0"/>
          <w:color w:val="auto"/>
          <w:kern w:val="0"/>
          <w:sz w:val="24"/>
          <w:szCs w:val="24"/>
          <w:lang w:val="en-US" w:eastAsia="zh-CN"/>
        </w:rPr>
        <w:t>人口约</w:t>
      </w:r>
      <w:r>
        <w:rPr>
          <w:rFonts w:hint="eastAsia" w:cs="Times New Roman"/>
          <w:snapToGrid w:val="0"/>
          <w:color w:val="auto"/>
          <w:kern w:val="0"/>
          <w:sz w:val="24"/>
          <w:szCs w:val="24"/>
          <w:lang w:val="en-US" w:eastAsia="zh-CN"/>
        </w:rPr>
        <w:t>280</w:t>
      </w:r>
      <w:r>
        <w:rPr>
          <w:rFonts w:hint="default" w:ascii="Times New Roman" w:hAnsi="Times New Roman" w:eastAsia="宋体" w:cs="Times New Roman"/>
          <w:snapToGrid w:val="0"/>
          <w:color w:val="auto"/>
          <w:kern w:val="0"/>
          <w:sz w:val="24"/>
          <w:szCs w:val="24"/>
          <w:lang w:val="en-US" w:eastAsia="zh-CN"/>
        </w:rPr>
        <w:t>人</w:t>
      </w:r>
      <w:r>
        <w:rPr>
          <w:rFonts w:hint="eastAsia" w:ascii="Times New Roman" w:hAnsi="Times New Roman" w:eastAsia="宋体" w:cs="Times New Roman"/>
          <w:snapToGrid w:val="0"/>
          <w:color w:val="auto"/>
          <w:kern w:val="0"/>
          <w:sz w:val="24"/>
          <w:szCs w:val="24"/>
          <w:lang w:val="en-US" w:eastAsia="zh-CN"/>
        </w:rPr>
        <w:t>。</w:t>
      </w:r>
      <w:r>
        <w:rPr>
          <w:rFonts w:hint="default" w:ascii="Times New Roman" w:hAnsi="Times New Roman" w:eastAsia="宋体" w:cs="Times New Roman"/>
          <w:snapToGrid w:val="0"/>
          <w:color w:val="auto"/>
          <w:kern w:val="0"/>
          <w:sz w:val="24"/>
          <w:szCs w:val="24"/>
          <w:lang w:val="en-US" w:eastAsia="zh-CN"/>
        </w:rPr>
        <w:t>村屯内</w:t>
      </w:r>
      <w:r>
        <w:rPr>
          <w:rFonts w:hint="eastAsia" w:cs="Times New Roman"/>
          <w:snapToGrid w:val="0"/>
          <w:color w:val="auto"/>
          <w:kern w:val="0"/>
          <w:sz w:val="24"/>
          <w:szCs w:val="24"/>
          <w:lang w:val="en-US" w:eastAsia="zh-CN"/>
        </w:rPr>
        <w:t>90%以上道路均已硬化</w:t>
      </w:r>
      <w:r>
        <w:rPr>
          <w:rFonts w:hint="default" w:ascii="Times New Roman" w:hAnsi="Times New Roman" w:eastAsia="宋体" w:cs="Times New Roman"/>
          <w:snapToGrid w:val="0"/>
          <w:color w:val="auto"/>
          <w:kern w:val="0"/>
          <w:sz w:val="24"/>
          <w:szCs w:val="24"/>
          <w:lang w:val="en-US" w:eastAsia="zh-CN"/>
        </w:rPr>
        <w:t>，</w:t>
      </w:r>
      <w:r>
        <w:rPr>
          <w:rFonts w:hint="eastAsia" w:cs="Times New Roman"/>
          <w:snapToGrid w:val="0"/>
          <w:color w:val="auto"/>
          <w:kern w:val="0"/>
          <w:sz w:val="24"/>
          <w:szCs w:val="24"/>
          <w:lang w:val="en-US" w:eastAsia="zh-CN"/>
        </w:rPr>
        <w:t>但村内没有污水收集管网，生活污水大部分排入道路旁的雨水沟内，或在路面漫流，临近农田的少量住户污水经过化粪池后排往附近农田，污水得到了资源化利用，但绝大部分污水仍处于直排状态，污染周边环境及地下水</w:t>
      </w:r>
      <w:r>
        <w:rPr>
          <w:rFonts w:hint="default" w:ascii="Times New Roman" w:hAnsi="Times New Roman" w:eastAsia="宋体" w:cs="Times New Roman"/>
          <w:snapToGrid w:val="0"/>
          <w:color w:val="auto"/>
          <w:kern w:val="0"/>
          <w:sz w:val="24"/>
          <w:szCs w:val="24"/>
          <w:lang w:val="en-US" w:eastAsia="zh-CN"/>
        </w:rPr>
        <w:t>。</w:t>
      </w:r>
      <w:r>
        <w:rPr>
          <w:rFonts w:hint="eastAsia" w:cs="Times New Roman"/>
          <w:snapToGrid w:val="0"/>
          <w:color w:val="auto"/>
          <w:kern w:val="0"/>
          <w:sz w:val="24"/>
          <w:szCs w:val="24"/>
          <w:lang w:val="en-US" w:eastAsia="zh-CN"/>
        </w:rPr>
        <w:t>本项目因地制宜，根据村屯地形特点分为三个片区对污水进行处理或资源化利用，其中集中式污水处理站规模为3</w:t>
      </w:r>
      <w:r>
        <w:rPr>
          <w:rFonts w:hint="default" w:ascii="Times New Roman" w:hAnsi="Times New Roman" w:eastAsia="宋体" w:cs="Times New Roman"/>
          <w:snapToGrid w:val="0"/>
          <w:color w:val="auto"/>
          <w:kern w:val="0"/>
          <w:sz w:val="24"/>
          <w:szCs w:val="24"/>
          <w:lang w:val="en-US" w:eastAsia="zh-CN"/>
        </w:rPr>
        <w:t>0m³/d</w:t>
      </w:r>
      <w:r>
        <w:rPr>
          <w:rFonts w:hint="eastAsia" w:cs="Times New Roman"/>
          <w:snapToGrid w:val="0"/>
          <w:color w:val="auto"/>
          <w:kern w:val="0"/>
          <w:sz w:val="24"/>
          <w:szCs w:val="24"/>
          <w:lang w:val="en-US" w:eastAsia="zh-CN"/>
        </w:rPr>
        <w:t>，采用</w:t>
      </w:r>
      <w:r>
        <w:rPr>
          <w:rFonts w:hint="default" w:ascii="Times New Roman" w:hAnsi="Times New Roman" w:eastAsia="宋体" w:cs="Times New Roman"/>
          <w:snapToGrid w:val="0"/>
          <w:color w:val="auto"/>
          <w:kern w:val="0"/>
          <w:sz w:val="24"/>
          <w:szCs w:val="24"/>
          <w:lang w:val="en-US" w:eastAsia="zh-CN"/>
        </w:rPr>
        <w:t>地埋</w:t>
      </w:r>
      <w:r>
        <w:rPr>
          <w:rFonts w:hint="eastAsia" w:cs="Times New Roman"/>
          <w:snapToGrid w:val="0"/>
          <w:color w:val="auto"/>
          <w:kern w:val="0"/>
          <w:sz w:val="24"/>
          <w:szCs w:val="24"/>
          <w:lang w:val="en-US" w:eastAsia="zh-CN"/>
        </w:rPr>
        <w:t>设计，移动床生物膜工艺，出水水质为</w:t>
      </w:r>
      <w:r>
        <w:rPr>
          <w:rFonts w:hint="default" w:ascii="Times New Roman" w:hAnsi="Times New Roman" w:eastAsia="宋体" w:cs="Times New Roman"/>
          <w:snapToGrid w:val="0"/>
          <w:color w:val="auto"/>
          <w:kern w:val="0"/>
          <w:sz w:val="24"/>
          <w:szCs w:val="24"/>
          <w:highlight w:val="none"/>
          <w:lang w:val="en-US" w:eastAsia="zh-CN"/>
        </w:rPr>
        <w:t>广西壮族自治区《农村生活污水处理设施水污染物排放标准》（DB45_2413-2021）中的</w:t>
      </w:r>
      <w:r>
        <w:rPr>
          <w:rFonts w:hint="eastAsia" w:ascii="Times New Roman" w:hAnsi="Times New Roman" w:eastAsia="宋体" w:cs="Times New Roman"/>
          <w:snapToGrid w:val="0"/>
          <w:color w:val="auto"/>
          <w:kern w:val="0"/>
          <w:sz w:val="24"/>
          <w:szCs w:val="24"/>
          <w:highlight w:val="none"/>
          <w:lang w:val="en-US" w:eastAsia="zh-CN"/>
        </w:rPr>
        <w:t>二</w:t>
      </w:r>
      <w:r>
        <w:rPr>
          <w:rFonts w:hint="default" w:ascii="Times New Roman" w:hAnsi="Times New Roman" w:eastAsia="宋体" w:cs="Times New Roman"/>
          <w:snapToGrid w:val="0"/>
          <w:color w:val="auto"/>
          <w:kern w:val="0"/>
          <w:sz w:val="24"/>
          <w:szCs w:val="24"/>
          <w:highlight w:val="none"/>
          <w:lang w:val="en-US" w:eastAsia="zh-CN"/>
        </w:rPr>
        <w:t>级标准</w:t>
      </w:r>
      <w:r>
        <w:rPr>
          <w:rFonts w:hint="default" w:ascii="Times New Roman" w:hAnsi="Times New Roman" w:eastAsia="宋体" w:cs="Times New Roman"/>
          <w:snapToGrid w:val="0"/>
          <w:color w:val="auto"/>
          <w:kern w:val="0"/>
          <w:sz w:val="24"/>
          <w:szCs w:val="24"/>
          <w:lang w:val="en-US" w:eastAsia="zh-CN"/>
        </w:rPr>
        <w:t>，</w:t>
      </w:r>
      <w:r>
        <w:rPr>
          <w:rFonts w:hint="eastAsia" w:cs="Times New Roman"/>
          <w:snapToGrid w:val="0"/>
          <w:color w:val="auto"/>
          <w:kern w:val="0"/>
          <w:sz w:val="24"/>
          <w:szCs w:val="24"/>
          <w:lang w:val="en-US" w:eastAsia="zh-CN"/>
        </w:rPr>
        <w:t>出水直排或进行资源化利用；另外两处为资源化处理设施，出水给附近的桑田利用</w:t>
      </w:r>
      <w:r>
        <w:rPr>
          <w:rFonts w:hint="default" w:ascii="Times New Roman" w:hAnsi="Times New Roman" w:eastAsia="宋体" w:cs="Times New Roman"/>
          <w:color w:val="auto"/>
          <w:sz w:val="24"/>
          <w:szCs w:val="22"/>
          <w:highlight w:val="none"/>
          <w:lang w:val="en-US" w:eastAsia="zh-CN"/>
        </w:rPr>
        <w:t>。</w:t>
      </w:r>
    </w:p>
    <w:p w14:paraId="15782DD7">
      <w:pPr>
        <w:pStyle w:val="3"/>
        <w:numPr>
          <w:ilvl w:val="0"/>
          <w:numId w:val="2"/>
        </w:numPr>
        <w:spacing w:before="0" w:after="0" w:line="360" w:lineRule="auto"/>
        <w:ind w:firstLine="482"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设计依据及参考资料</w:t>
      </w:r>
    </w:p>
    <w:p w14:paraId="1C138C08">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《室外排水设计标准》（GB 50014-2021）；</w:t>
      </w:r>
    </w:p>
    <w:p w14:paraId="1681D36B">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《镇（乡）村排水工程技术规范》（CJJ 124-2008）；</w:t>
      </w:r>
    </w:p>
    <w:p w14:paraId="4007117C">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《给水排水管道工程施工及验收规范》（GB 50268-2008）；</w:t>
      </w:r>
    </w:p>
    <w:p w14:paraId="278212E8">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《给水排水工程管道结构设计规范》（GB 50332-2002）；</w:t>
      </w:r>
    </w:p>
    <w:p w14:paraId="046251FD">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《给水排水构筑物工程施工及验收规范》（GB 50141-2008）；</w:t>
      </w:r>
    </w:p>
    <w:p w14:paraId="2F40D71D">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《城市排水工程规划规范》（GB 50318-2017）；</w:t>
      </w:r>
    </w:p>
    <w:p w14:paraId="65A6B6BB">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8、《室外给水排水和燃气热力工程抗震设计规范》（GB 50032-2003）；</w:t>
      </w:r>
    </w:p>
    <w:p w14:paraId="51525AA6">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9、《民用建筑节水设计标准》（GB 50555-2010）；</w:t>
      </w:r>
    </w:p>
    <w:p w14:paraId="43C80CB4">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10、《建筑给水排水设计</w:t>
      </w:r>
      <w:r>
        <w:rPr>
          <w:rFonts w:hint="default" w:ascii="Times New Roman" w:hAnsi="Times New Roman" w:eastAsia="宋体" w:cs="Times New Roman"/>
          <w:color w:val="auto"/>
          <w:lang w:val="en-US" w:eastAsia="zh-CN"/>
        </w:rPr>
        <w:t>标准</w:t>
      </w:r>
      <w:r>
        <w:rPr>
          <w:rFonts w:hint="default" w:ascii="Times New Roman" w:hAnsi="Times New Roman" w:eastAsia="宋体" w:cs="Times New Roman"/>
          <w:color w:val="auto"/>
        </w:rPr>
        <w:t>》（GB 50015-2019）；</w:t>
      </w:r>
    </w:p>
    <w:p w14:paraId="784F5CEB">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11、《</w:t>
      </w:r>
      <w:r>
        <w:rPr>
          <w:rFonts w:hint="default" w:ascii="Times New Roman" w:hAnsi="Times New Roman" w:eastAsia="宋体" w:cs="Times New Roman"/>
          <w:color w:val="auto"/>
        </w:rPr>
        <w:t>农村生活污水处理设施水污染物排放标准</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rPr>
        <w:t>DB45_2413-2021</w:t>
      </w:r>
      <w:r>
        <w:rPr>
          <w:rFonts w:hint="default" w:ascii="Times New Roman" w:hAnsi="Times New Roman" w:eastAsia="宋体" w:cs="Times New Roman"/>
          <w:color w:val="auto"/>
          <w:lang w:val="en-US" w:eastAsia="zh-CN"/>
        </w:rPr>
        <w:t>）</w:t>
      </w:r>
    </w:p>
    <w:p w14:paraId="3D661CCF">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12、《市政公用工程设计文件编制深度规定》（</w:t>
      </w:r>
      <w:r>
        <w:rPr>
          <w:rFonts w:hint="eastAsia" w:cs="Times New Roman"/>
          <w:color w:val="auto"/>
          <w:lang w:val="en-US" w:eastAsia="zh-CN"/>
        </w:rPr>
        <w:t>2023</w:t>
      </w:r>
      <w:r>
        <w:rPr>
          <w:rFonts w:hint="default" w:ascii="Times New Roman" w:hAnsi="Times New Roman" w:eastAsia="宋体" w:cs="Times New Roman"/>
          <w:color w:val="auto"/>
        </w:rPr>
        <w:t>年版）；</w:t>
      </w:r>
    </w:p>
    <w:p w14:paraId="1A9B046C">
      <w:pPr>
        <w:pStyle w:val="71"/>
        <w:snapToGrid/>
        <w:ind w:firstLine="480"/>
        <w:jc w:val="left"/>
        <w:rPr>
          <w:rFonts w:hint="default" w:ascii="Times New Roman" w:hAnsi="Times New Roman" w:eastAsia="宋体" w:cs="Times New Roman"/>
          <w:snapToGrid w:val="0"/>
          <w:color w:val="auto"/>
          <w:kern w:val="0"/>
        </w:rPr>
      </w:pPr>
      <w:r>
        <w:rPr>
          <w:rFonts w:hint="default" w:ascii="Times New Roman" w:hAnsi="Times New Roman" w:eastAsia="宋体" w:cs="Times New Roman"/>
          <w:color w:val="auto"/>
        </w:rPr>
        <w:t>13、</w:t>
      </w:r>
      <w:r>
        <w:rPr>
          <w:rFonts w:hint="default" w:ascii="Times New Roman" w:hAnsi="Times New Roman" w:eastAsia="宋体" w:cs="Times New Roman"/>
          <w:snapToGrid w:val="0"/>
          <w:color w:val="auto"/>
          <w:kern w:val="0"/>
        </w:rPr>
        <w:t>《检查井盖》(GB/T23858-2009)；</w:t>
      </w:r>
    </w:p>
    <w:p w14:paraId="6D5AB0C0">
      <w:pPr>
        <w:pStyle w:val="71"/>
        <w:snapToGrid/>
        <w:ind w:firstLine="480"/>
        <w:jc w:val="left"/>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14、《铸铁检查井盖》(CJ/T511-2017)；</w:t>
      </w:r>
    </w:p>
    <w:p w14:paraId="24F8A651">
      <w:pPr>
        <w:pStyle w:val="71"/>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15、《市政排水管道工程及附属设施》（06MS201）；</w:t>
      </w:r>
    </w:p>
    <w:p w14:paraId="447166D5">
      <w:pPr>
        <w:pStyle w:val="71"/>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16、《钢筋混凝土及砖砌排水检查井》（20S515）；</w:t>
      </w:r>
    </w:p>
    <w:p w14:paraId="6A347B24">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17、《小城镇污水处理建设标准》</w:t>
      </w:r>
      <w:r>
        <w:rPr>
          <w:rFonts w:hint="eastAsia" w:cs="Times New Roman"/>
          <w:color w:val="auto"/>
          <w:highlight w:val="none"/>
          <w:lang w:eastAsia="zh-CN"/>
        </w:rPr>
        <w:t>（</w:t>
      </w:r>
      <w:r>
        <w:rPr>
          <w:rFonts w:hint="default" w:ascii="Times New Roman" w:hAnsi="Times New Roman" w:eastAsia="宋体" w:cs="Times New Roman"/>
          <w:color w:val="auto"/>
          <w:highlight w:val="none"/>
        </w:rPr>
        <w:t>建标148-2010</w:t>
      </w:r>
      <w:r>
        <w:rPr>
          <w:rFonts w:hint="eastAsia" w:cs="Times New Roman"/>
          <w:color w:val="auto"/>
          <w:highlight w:val="none"/>
          <w:lang w:eastAsia="zh-CN"/>
        </w:rPr>
        <w:t>）</w:t>
      </w:r>
      <w:r>
        <w:rPr>
          <w:rFonts w:hint="default" w:ascii="Times New Roman" w:hAnsi="Times New Roman" w:eastAsia="宋体" w:cs="Times New Roman"/>
          <w:color w:val="auto"/>
          <w:highlight w:val="none"/>
        </w:rPr>
        <w:t>；</w:t>
      </w:r>
    </w:p>
    <w:p w14:paraId="7E02FCFA">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18、《国家电网公司380/220V架空配电线路典型设计（201</w:t>
      </w:r>
      <w:r>
        <w:rPr>
          <w:rFonts w:hint="eastAsia" w:cs="Times New Roman"/>
          <w:color w:val="auto"/>
          <w:highlight w:val="none"/>
          <w:lang w:val="en-US" w:eastAsia="zh-CN"/>
        </w:rPr>
        <w:t>8</w:t>
      </w:r>
      <w:r>
        <w:rPr>
          <w:rFonts w:hint="default" w:ascii="Times New Roman" w:hAnsi="Times New Roman" w:eastAsia="宋体" w:cs="Times New Roman"/>
          <w:color w:val="auto"/>
          <w:highlight w:val="none"/>
        </w:rPr>
        <w:t>版）》；</w:t>
      </w:r>
    </w:p>
    <w:p w14:paraId="3819BD60">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19、《低压配电系统设计规范》 GB50052-2024；</w:t>
      </w:r>
    </w:p>
    <w:p w14:paraId="40F7D591">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20、《交流电气装置的接地设计规范》 GB50065-201</w:t>
      </w:r>
      <w:r>
        <w:rPr>
          <w:rFonts w:hint="eastAsia" w:cs="Times New Roman"/>
          <w:color w:val="auto"/>
          <w:highlight w:val="none"/>
          <w:lang w:val="en-US" w:eastAsia="zh-CN"/>
        </w:rPr>
        <w:t>1</w:t>
      </w:r>
      <w:r>
        <w:rPr>
          <w:rFonts w:hint="default" w:ascii="Times New Roman" w:hAnsi="Times New Roman" w:eastAsia="宋体" w:cs="Times New Roman"/>
          <w:color w:val="auto"/>
          <w:highlight w:val="none"/>
        </w:rPr>
        <w:t>；</w:t>
      </w:r>
    </w:p>
    <w:p w14:paraId="36D96A00">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21、《建筑物防雷设计规范》GB50057-20</w:t>
      </w:r>
      <w:r>
        <w:rPr>
          <w:rFonts w:hint="eastAsia" w:cs="Times New Roman"/>
          <w:color w:val="auto"/>
          <w:highlight w:val="none"/>
          <w:lang w:val="en-US" w:eastAsia="zh-CN"/>
        </w:rPr>
        <w:t>10</w:t>
      </w:r>
      <w:r>
        <w:rPr>
          <w:rFonts w:hint="default" w:ascii="Times New Roman" w:hAnsi="Times New Roman" w:eastAsia="宋体" w:cs="Times New Roman"/>
          <w:color w:val="auto"/>
          <w:highlight w:val="none"/>
        </w:rPr>
        <w:t>；</w:t>
      </w:r>
    </w:p>
    <w:p w14:paraId="32878D59">
      <w:pPr>
        <w:pStyle w:val="71"/>
        <w:snapToGrid/>
        <w:ind w:firstLine="48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t>22、《电力工程电缆设计标准》GB50217-20</w:t>
      </w:r>
      <w:r>
        <w:rPr>
          <w:rFonts w:hint="eastAsia" w:cs="Times New Roman"/>
          <w:color w:val="auto"/>
          <w:highlight w:val="none"/>
          <w:lang w:val="en-US" w:eastAsia="zh-CN"/>
        </w:rPr>
        <w:t>18</w:t>
      </w:r>
      <w:r>
        <w:rPr>
          <w:rFonts w:hint="default" w:ascii="Times New Roman" w:hAnsi="Times New Roman" w:eastAsia="宋体" w:cs="Times New Roman"/>
          <w:color w:val="auto"/>
          <w:highlight w:val="none"/>
          <w:lang w:eastAsia="zh-CN"/>
        </w:rPr>
        <w:t>；</w:t>
      </w:r>
    </w:p>
    <w:p w14:paraId="7D1F4D23">
      <w:pPr>
        <w:pStyle w:val="71"/>
        <w:snapToGrid/>
        <w:ind w:firstLine="48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23</w:t>
      </w:r>
      <w:r>
        <w:rPr>
          <w:rFonts w:hint="default" w:ascii="Times New Roman" w:hAnsi="Times New Roman" w:eastAsia="宋体" w:cs="Times New Roman"/>
          <w:color w:val="auto"/>
          <w:highlight w:val="none"/>
        </w:rPr>
        <w:t>、《建筑与市政工程抗震通用规范》（GB55002-2021）。</w:t>
      </w:r>
    </w:p>
    <w:p w14:paraId="70900C87">
      <w:pPr>
        <w:pStyle w:val="3"/>
        <w:numPr>
          <w:ilvl w:val="0"/>
          <w:numId w:val="2"/>
        </w:numPr>
        <w:spacing w:before="0" w:after="0" w:line="360" w:lineRule="auto"/>
        <w:ind w:firstLine="482"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w:t>
      </w:r>
      <w:r>
        <w:rPr>
          <w:rFonts w:hint="default" w:ascii="Times New Roman" w:hAnsi="Times New Roman" w:eastAsia="宋体" w:cs="Times New Roman"/>
          <w:color w:val="auto"/>
          <w:sz w:val="24"/>
          <w:szCs w:val="24"/>
          <w:lang w:val="en-US" w:eastAsia="zh-CN"/>
        </w:rPr>
        <w:t>渠</w:t>
      </w:r>
      <w:r>
        <w:rPr>
          <w:rFonts w:hint="default" w:ascii="Times New Roman" w:hAnsi="Times New Roman" w:eastAsia="宋体" w:cs="Times New Roman"/>
          <w:color w:val="auto"/>
          <w:sz w:val="24"/>
          <w:szCs w:val="24"/>
        </w:rPr>
        <w:t>设计</w:t>
      </w:r>
    </w:p>
    <w:p w14:paraId="04833F4A">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一</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设计标准</w:t>
      </w:r>
    </w:p>
    <w:p w14:paraId="0F099498">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本工程排水体制采用</w:t>
      </w:r>
      <w:r>
        <w:rPr>
          <w:rFonts w:hint="eastAsia" w:cs="Times New Roman"/>
          <w:snapToGrid w:val="0"/>
          <w:color w:val="auto"/>
          <w:kern w:val="0"/>
          <w:sz w:val="24"/>
          <w:szCs w:val="24"/>
          <w:lang w:val="en-US" w:eastAsia="zh-CN"/>
        </w:rPr>
        <w:t>雨污分流制，接户管应根据现场村民的排</w:t>
      </w:r>
      <w:bookmarkStart w:id="0" w:name="_GoBack"/>
      <w:bookmarkEnd w:id="0"/>
      <w:r>
        <w:rPr>
          <w:rFonts w:hint="eastAsia" w:cs="Times New Roman"/>
          <w:snapToGrid w:val="0"/>
          <w:color w:val="auto"/>
          <w:kern w:val="0"/>
          <w:sz w:val="24"/>
          <w:szCs w:val="24"/>
          <w:lang w:val="en-US" w:eastAsia="zh-CN"/>
        </w:rPr>
        <w:t>水点情况进行应接尽接。纳入污水管网的污水包括黑水（化粪池出水）及灰水（厨房、淋浴等用水）</w:t>
      </w:r>
      <w:r>
        <w:rPr>
          <w:rFonts w:hint="default" w:ascii="Times New Roman" w:hAnsi="Times New Roman" w:eastAsia="宋体" w:cs="Times New Roman"/>
          <w:snapToGrid w:val="0"/>
          <w:color w:val="auto"/>
          <w:kern w:val="0"/>
          <w:sz w:val="24"/>
          <w:szCs w:val="24"/>
          <w:lang w:val="en-US" w:eastAsia="zh-CN"/>
        </w:rPr>
        <w:t>。</w:t>
      </w:r>
    </w:p>
    <w:p w14:paraId="597A03DD">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二</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管材及基础</w:t>
      </w:r>
    </w:p>
    <w:p w14:paraId="46063531">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1、污水主管采用</w:t>
      </w:r>
      <w:r>
        <w:rPr>
          <w:rFonts w:hint="eastAsia" w:cs="Times New Roman"/>
          <w:snapToGrid w:val="0"/>
          <w:color w:val="auto"/>
          <w:kern w:val="0"/>
          <w:sz w:val="24"/>
          <w:szCs w:val="24"/>
          <w:lang w:val="en-US" w:eastAsia="zh-CN"/>
        </w:rPr>
        <w:t>HDPE双壁波纹</w:t>
      </w:r>
      <w:r>
        <w:rPr>
          <w:rFonts w:hint="default" w:ascii="Times New Roman" w:hAnsi="Times New Roman" w:eastAsia="宋体" w:cs="Times New Roman"/>
          <w:snapToGrid w:val="0"/>
          <w:color w:val="auto"/>
          <w:kern w:val="0"/>
          <w:sz w:val="24"/>
          <w:szCs w:val="24"/>
          <w:lang w:val="en-US" w:eastAsia="zh-CN"/>
        </w:rPr>
        <w:t>管，环刚度8KN/㎡，橡胶圈承插连接，管材需满足《埋地用聚乙烯（PE）结构壁管道系统 第2部分：聚乙烯缠绕结构壁管材》（GBT19472.2-2017）的要求。</w:t>
      </w:r>
    </w:p>
    <w:p w14:paraId="31D053E3">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2、接户管采用UPVC管，粘接连接，管材需满足《</w:t>
      </w:r>
      <w:r>
        <w:rPr>
          <w:rFonts w:hint="default" w:ascii="Times New Roman" w:hAnsi="Times New Roman" w:eastAsia="宋体" w:cs="Times New Roman"/>
          <w:snapToGrid w:val="0"/>
          <w:color w:val="auto"/>
          <w:kern w:val="0"/>
          <w:sz w:val="24"/>
          <w:szCs w:val="24"/>
          <w:lang w:val="en-US" w:eastAsia="zh-CN"/>
        </w:rPr>
        <w:fldChar w:fldCharType="begin"/>
      </w:r>
      <w:r>
        <w:rPr>
          <w:rFonts w:hint="default" w:ascii="Times New Roman" w:hAnsi="Times New Roman" w:eastAsia="宋体" w:cs="Times New Roman"/>
          <w:snapToGrid w:val="0"/>
          <w:color w:val="auto"/>
          <w:kern w:val="0"/>
          <w:sz w:val="24"/>
          <w:szCs w:val="24"/>
          <w:lang w:val="en-US" w:eastAsia="zh-CN"/>
        </w:rPr>
        <w:instrText xml:space="preserve"> HYPERLINK "http://www.jianbiaoku.com/webarbs/book/69937/4056506.shtml" \t "http://www.jianbiaoku.com/webarbs/book/69937/_self" </w:instrText>
      </w:r>
      <w:r>
        <w:rPr>
          <w:rFonts w:hint="default" w:ascii="Times New Roman" w:hAnsi="Times New Roman" w:eastAsia="宋体" w:cs="Times New Roman"/>
          <w:snapToGrid w:val="0"/>
          <w:color w:val="auto"/>
          <w:kern w:val="0"/>
          <w:sz w:val="24"/>
          <w:szCs w:val="24"/>
          <w:lang w:val="en-US" w:eastAsia="zh-CN"/>
        </w:rPr>
        <w:fldChar w:fldCharType="separate"/>
      </w:r>
      <w:r>
        <w:rPr>
          <w:rFonts w:hint="default" w:ascii="Times New Roman" w:hAnsi="Times New Roman" w:eastAsia="宋体" w:cs="Times New Roman"/>
          <w:snapToGrid w:val="0"/>
          <w:color w:val="auto"/>
          <w:kern w:val="0"/>
          <w:sz w:val="24"/>
          <w:szCs w:val="24"/>
          <w:lang w:val="en-US" w:eastAsia="zh-CN"/>
        </w:rPr>
        <w:t>建筑排水用硬聚氯乙烯(PVC-U)管材</w:t>
      </w:r>
      <w:r>
        <w:rPr>
          <w:rFonts w:hint="default" w:ascii="Times New Roman" w:hAnsi="Times New Roman" w:eastAsia="宋体" w:cs="Times New Roman"/>
          <w:snapToGrid w:val="0"/>
          <w:color w:val="auto"/>
          <w:kern w:val="0"/>
          <w:sz w:val="24"/>
          <w:szCs w:val="24"/>
          <w:lang w:val="en-US" w:eastAsia="zh-CN"/>
        </w:rPr>
        <w:fldChar w:fldCharType="end"/>
      </w:r>
      <w:r>
        <w:rPr>
          <w:rFonts w:hint="default" w:ascii="Times New Roman" w:hAnsi="Times New Roman" w:eastAsia="宋体" w:cs="Times New Roman"/>
          <w:snapToGrid w:val="0"/>
          <w:color w:val="auto"/>
          <w:kern w:val="0"/>
          <w:sz w:val="24"/>
          <w:szCs w:val="24"/>
          <w:lang w:val="en-US" w:eastAsia="zh-CN"/>
        </w:rPr>
        <w:t>》（ GB/T5836.1-2018）的要求。</w:t>
      </w:r>
    </w:p>
    <w:p w14:paraId="05C397F6">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3、埋地排水管道采用100mm厚</w:t>
      </w:r>
      <w:r>
        <w:rPr>
          <w:rFonts w:hint="eastAsia" w:cs="Times New Roman"/>
          <w:snapToGrid w:val="0"/>
          <w:color w:val="auto"/>
          <w:kern w:val="0"/>
          <w:sz w:val="24"/>
          <w:szCs w:val="24"/>
          <w:lang w:val="en-US" w:eastAsia="zh-CN"/>
        </w:rPr>
        <w:t>石粉（石屑）</w:t>
      </w:r>
      <w:r>
        <w:rPr>
          <w:rFonts w:hint="default" w:ascii="Times New Roman" w:hAnsi="Times New Roman" w:eastAsia="宋体" w:cs="Times New Roman"/>
          <w:snapToGrid w:val="0"/>
          <w:color w:val="auto"/>
          <w:kern w:val="0"/>
          <w:sz w:val="24"/>
          <w:szCs w:val="24"/>
          <w:lang w:val="en-US" w:eastAsia="zh-CN"/>
        </w:rPr>
        <w:t>基础。</w:t>
      </w:r>
    </w:p>
    <w:p w14:paraId="310A62A0">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1</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对于一般土质，应在管底以下原状土地基或回填夯实的地基上铺设一层厚度为100mm的</w:t>
      </w:r>
      <w:r>
        <w:rPr>
          <w:rFonts w:hint="eastAsia" w:cs="Times New Roman"/>
          <w:snapToGrid w:val="0"/>
          <w:color w:val="auto"/>
          <w:kern w:val="0"/>
          <w:sz w:val="24"/>
          <w:szCs w:val="24"/>
          <w:lang w:val="en-US" w:eastAsia="zh-CN"/>
        </w:rPr>
        <w:t>石粉（石屑</w:t>
      </w:r>
      <w:r>
        <w:rPr>
          <w:rFonts w:hint="default" w:ascii="Times New Roman" w:hAnsi="Times New Roman" w:eastAsia="宋体" w:cs="Times New Roman"/>
          <w:color w:val="auto"/>
          <w:sz w:val="24"/>
          <w:shd w:val="clear" w:color="auto" w:fill="FFFFFF"/>
        </w:rPr>
        <w:t>基础层；</w:t>
      </w:r>
    </w:p>
    <w:p w14:paraId="4703F669">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2</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当地基土质较差时，可采用铺垫厚度不小于200mm的砂砾石基础层，也可分层铺设，下层用粒径5-32mm的碎石，厚度100-150mm，上层铺</w:t>
      </w:r>
      <w:r>
        <w:rPr>
          <w:rFonts w:hint="eastAsia" w:cs="Times New Roman"/>
          <w:snapToGrid w:val="0"/>
          <w:color w:val="auto"/>
          <w:kern w:val="0"/>
          <w:sz w:val="24"/>
          <w:szCs w:val="24"/>
          <w:lang w:val="en-US" w:eastAsia="zh-CN"/>
        </w:rPr>
        <w:t>中粗砂</w:t>
      </w:r>
      <w:r>
        <w:rPr>
          <w:rFonts w:hint="default" w:ascii="Times New Roman" w:hAnsi="Times New Roman" w:eastAsia="宋体" w:cs="Times New Roman"/>
          <w:color w:val="auto"/>
          <w:sz w:val="24"/>
          <w:shd w:val="clear" w:color="auto" w:fill="FFFFFF"/>
        </w:rPr>
        <w:t>，厚度不小于100mm；</w:t>
      </w:r>
    </w:p>
    <w:p w14:paraId="2506E965">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3</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当基础承载力小于100KPa或由于施工期降水等原因，地基原状土被扰动而影响地基承载能力时，必须对地基进行加固处理，在达到规范的地基承载力后，再敷设</w:t>
      </w:r>
      <w:r>
        <w:rPr>
          <w:rFonts w:hint="eastAsia" w:cs="Times New Roman"/>
          <w:snapToGrid w:val="0"/>
          <w:color w:val="auto"/>
          <w:kern w:val="0"/>
          <w:sz w:val="24"/>
          <w:szCs w:val="24"/>
          <w:lang w:val="en-US" w:eastAsia="zh-CN"/>
        </w:rPr>
        <w:t>石粉（石屑）</w:t>
      </w:r>
      <w:r>
        <w:rPr>
          <w:rFonts w:hint="default" w:ascii="Times New Roman" w:hAnsi="Times New Roman" w:eastAsia="宋体" w:cs="Times New Roman"/>
          <w:color w:val="auto"/>
          <w:sz w:val="24"/>
          <w:shd w:val="clear" w:color="auto" w:fill="FFFFFF"/>
        </w:rPr>
        <w:t>基础层，若遇流沙、淤泥、松散杂填土等软弱地基，应采取加固措施（由设计人员现场处理）；</w:t>
      </w:r>
    </w:p>
    <w:p w14:paraId="093BE9B2">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4</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对于由于管道荷载</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地层土质变化等因素可能产生管道纵向局部不均匀沉降时，应在管道敷设前对地基进行加固处理。</w:t>
      </w:r>
    </w:p>
    <w:p w14:paraId="078DCD6A">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三</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沟槽开挖及回填</w:t>
      </w:r>
    </w:p>
    <w:p w14:paraId="68AB7544">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沟槽开挖：基管基坑槽的开挖及支护方案由施工单位根据工程地质条件和施工经验确定，但必须采取可靠措施保证边坡稳定，以确保施工人员及邻近构筑物和地下设施的安全。沟槽开挖的宽度、边坡坡度、分层开挖每层深度等应根据现行《给水排水管道工程施工及验收规范》（GB 50268-2008）的有关规定并结合实际情况确定，沟槽开挖边坡系数</w:t>
      </w:r>
      <w:r>
        <w:rPr>
          <w:rFonts w:hint="default" w:ascii="Times New Roman" w:hAnsi="Times New Roman" w:eastAsia="宋体" w:cs="Times New Roman"/>
          <w:snapToGrid w:val="0"/>
          <w:color w:val="auto"/>
          <w:kern w:val="0"/>
          <w:sz w:val="24"/>
          <w:szCs w:val="24"/>
          <w:lang w:val="en-US" w:eastAsia="zh-CN"/>
        </w:rPr>
        <w:t>m</w:t>
      </w:r>
      <w:r>
        <w:rPr>
          <w:rFonts w:hint="default" w:ascii="Times New Roman" w:hAnsi="Times New Roman" w:eastAsia="宋体" w:cs="Times New Roman"/>
          <w:snapToGrid w:val="0"/>
          <w:color w:val="auto"/>
          <w:kern w:val="0"/>
          <w:sz w:val="24"/>
          <w:szCs w:val="24"/>
        </w:rPr>
        <w:t>值根据地质情况确定，取值见《给水排水管道工程施工及验收规范》（GB 50268-2008）的有关规定执行，如果采用直壁开挖必须进行有效支护以确保施工安全。严格按设计控制开挖高程，不得超挖和欠挖，挖至设计高程尚差200mm时，采用人工开挖至设计高程。管槽开挖如遇素填土、杂填土、泥炭土应全部清除，换填砾卵石并分层夯实至设计管底标高下100-150mm，要求压实度不小于95%。管道沿线有地下水时，应进行施工降水，地下水位应降至槽底最低点0.5m以下，以保证干槽施工。沟槽的开挖和管线敷设与回填应一致，开槽后应组织相关单位验槽，合格后尽快进行下一道工序的施工，开槽距离和亮槽时间应尽量短。</w:t>
      </w:r>
    </w:p>
    <w:p w14:paraId="68247D9E">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沟槽回填：管基达到设计强度及闭水试验合格后应及时进行沟槽回填，以确保工程质量；应特别重视管道工程的沟槽回填质量，应加强施工组织设计和选用适当回填机具设备；采取各种有效技术措施，加强检测手段，设专人负责沟槽回填工作的自监和检查；沟槽回填土须分层（每层厚度小于或等于0.2m)夯实，管道两则要同时进行，均匀上升，不得一边超载而另一边空载。沟槽回填按《管道沟槽开挖及回填图》的要求执行，详见图“管道沟槽开挖及回填图”。</w:t>
      </w:r>
    </w:p>
    <w:p w14:paraId="2E20A2F8">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四</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管道敷设</w:t>
      </w:r>
    </w:p>
    <w:p w14:paraId="53422FB7">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重力流主管</w:t>
      </w:r>
      <w:r>
        <w:rPr>
          <w:rFonts w:hint="default" w:ascii="Times New Roman" w:hAnsi="Times New Roman" w:eastAsia="宋体" w:cs="Times New Roman"/>
          <w:snapToGrid w:val="0"/>
          <w:color w:val="auto"/>
          <w:kern w:val="0"/>
          <w:sz w:val="24"/>
          <w:szCs w:val="24"/>
          <w:lang w:val="en-US" w:eastAsia="zh-CN"/>
        </w:rPr>
        <w:t>不淤流速不小于0.6m/s</w:t>
      </w:r>
      <w:r>
        <w:rPr>
          <w:rFonts w:hint="default" w:ascii="Times New Roman" w:hAnsi="Times New Roman" w:eastAsia="宋体" w:cs="Times New Roman"/>
          <w:snapToGrid w:val="0"/>
          <w:color w:val="auto"/>
          <w:kern w:val="0"/>
          <w:sz w:val="24"/>
          <w:szCs w:val="24"/>
        </w:rPr>
        <w:t>。</w:t>
      </w:r>
    </w:p>
    <w:p w14:paraId="2CA56787">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排水管道应在沟槽地基、管基质量检验合格后安装，安装时宜自下游开始，承口应朝向施工前进的方向。</w:t>
      </w:r>
    </w:p>
    <w:p w14:paraId="4FBBA7F6">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排水管道均应采用管顶平接，检查井的内径和构造要求应根据管径、埋深、管道的敷设、地面荷载、维护检修等因素</w:t>
      </w:r>
      <w:r>
        <w:rPr>
          <w:rFonts w:hint="eastAsia" w:cs="Times New Roman"/>
          <w:snapToGrid w:val="0"/>
          <w:color w:val="auto"/>
          <w:kern w:val="0"/>
          <w:sz w:val="24"/>
          <w:szCs w:val="24"/>
          <w:lang w:val="en-US" w:eastAsia="zh-CN"/>
        </w:rPr>
        <w:t>参照</w:t>
      </w:r>
      <w:r>
        <w:rPr>
          <w:rFonts w:hint="default" w:ascii="Times New Roman" w:hAnsi="Times New Roman" w:eastAsia="宋体" w:cs="Times New Roman"/>
          <w:snapToGrid w:val="0"/>
          <w:color w:val="auto"/>
          <w:kern w:val="0"/>
          <w:sz w:val="24"/>
          <w:szCs w:val="24"/>
        </w:rPr>
        <w:t>国标图集</w:t>
      </w:r>
      <w:r>
        <w:rPr>
          <w:rFonts w:hint="default" w:ascii="Times New Roman" w:hAnsi="Times New Roman" w:eastAsia="宋体" w:cs="Times New Roman"/>
          <w:snapToGrid w:val="0"/>
          <w:color w:val="auto"/>
          <w:kern w:val="0"/>
          <w:sz w:val="24"/>
          <w:szCs w:val="24"/>
          <w:lang w:eastAsia="zh-CN"/>
        </w:rPr>
        <w:t>（22S521）</w:t>
      </w:r>
      <w:r>
        <w:rPr>
          <w:rFonts w:hint="default" w:ascii="Times New Roman" w:hAnsi="Times New Roman" w:eastAsia="宋体" w:cs="Times New Roman"/>
          <w:snapToGrid w:val="0"/>
          <w:color w:val="auto"/>
          <w:kern w:val="0"/>
          <w:sz w:val="24"/>
          <w:szCs w:val="24"/>
        </w:rPr>
        <w:t>选用。</w:t>
      </w:r>
    </w:p>
    <w:p w14:paraId="1AA80651">
      <w:pPr>
        <w:spacing w:line="360" w:lineRule="auto"/>
        <w:ind w:firstLine="480" w:firstLineChars="20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snapToGrid w:val="0"/>
          <w:color w:val="auto"/>
          <w:kern w:val="0"/>
          <w:sz w:val="24"/>
          <w:szCs w:val="24"/>
          <w:lang w:val="en-US" w:eastAsia="zh-CN"/>
        </w:rPr>
        <w:t>4、</w:t>
      </w:r>
      <w:r>
        <w:rPr>
          <w:rFonts w:hint="default" w:ascii="Times New Roman" w:hAnsi="Times New Roman" w:eastAsia="宋体" w:cs="Times New Roman"/>
          <w:snapToGrid w:val="0"/>
          <w:color w:val="auto"/>
          <w:kern w:val="0"/>
          <w:sz w:val="24"/>
          <w:szCs w:val="24"/>
        </w:rPr>
        <w:t>管道在回填前应采用闭水法进行严密性试验，试验要求按照国标《给水排水管道工程施工及验收规范》（GB 50268-2008）的第10.3部分有关的条文执行。</w:t>
      </w:r>
    </w:p>
    <w:p w14:paraId="56F99F8C">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（五）检查井与排水沟</w:t>
      </w:r>
    </w:p>
    <w:p w14:paraId="0A220072">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val="en-US" w:eastAsia="zh-CN"/>
        </w:rPr>
        <w:t>1、</w:t>
      </w:r>
      <w:r>
        <w:rPr>
          <w:rFonts w:hint="default" w:ascii="Times New Roman" w:hAnsi="Times New Roman" w:eastAsia="宋体" w:cs="Times New Roman"/>
          <w:color w:val="auto"/>
          <w:sz w:val="24"/>
          <w:shd w:val="clear" w:color="auto" w:fill="FFFFFF"/>
        </w:rPr>
        <w:t>所有</w:t>
      </w:r>
      <w:r>
        <w:rPr>
          <w:rFonts w:hint="eastAsia" w:cs="Times New Roman"/>
          <w:color w:val="auto"/>
          <w:sz w:val="24"/>
          <w:shd w:val="clear" w:color="auto" w:fill="FFFFFF"/>
          <w:lang w:val="en-US" w:eastAsia="zh-CN"/>
        </w:rPr>
        <w:t>主干道上的圆形污水</w:t>
      </w:r>
      <w:r>
        <w:rPr>
          <w:rFonts w:hint="default" w:ascii="Times New Roman" w:hAnsi="Times New Roman" w:eastAsia="宋体" w:cs="Times New Roman"/>
          <w:color w:val="auto"/>
          <w:sz w:val="24"/>
          <w:shd w:val="clear" w:color="auto" w:fill="FFFFFF"/>
        </w:rPr>
        <w:t>检查井采用</w:t>
      </w:r>
      <w:r>
        <w:rPr>
          <w:rFonts w:hint="default" w:ascii="Times New Roman" w:hAnsi="Times New Roman" w:eastAsia="宋体" w:cs="Times New Roman"/>
          <w:color w:val="auto"/>
          <w:sz w:val="24"/>
          <w:shd w:val="clear" w:color="auto" w:fill="FFFFFF"/>
          <w:lang w:val="en-US" w:eastAsia="zh-CN"/>
        </w:rPr>
        <w:t>预制钢筋混凝土</w:t>
      </w:r>
      <w:r>
        <w:rPr>
          <w:rFonts w:hint="default" w:ascii="Times New Roman" w:hAnsi="Times New Roman" w:eastAsia="宋体" w:cs="Times New Roman"/>
          <w:color w:val="auto"/>
          <w:sz w:val="24"/>
          <w:shd w:val="clear" w:color="auto" w:fill="FFFFFF"/>
        </w:rPr>
        <w:t>检查井，</w:t>
      </w:r>
      <w:r>
        <w:rPr>
          <w:rFonts w:hint="eastAsia" w:cs="Times New Roman"/>
          <w:color w:val="auto"/>
          <w:sz w:val="24"/>
          <w:shd w:val="clear" w:color="auto" w:fill="FFFFFF"/>
          <w:lang w:val="en-US" w:eastAsia="zh-CN"/>
        </w:rPr>
        <w:t>户线检查井采用砖砌小方井</w:t>
      </w:r>
      <w:r>
        <w:rPr>
          <w:rFonts w:hint="default" w:ascii="Times New Roman" w:hAnsi="Times New Roman" w:eastAsia="宋体" w:cs="Times New Roman"/>
          <w:color w:val="auto"/>
          <w:sz w:val="24"/>
          <w:shd w:val="clear" w:color="auto" w:fill="FFFFFF"/>
        </w:rPr>
        <w:t>。</w:t>
      </w:r>
    </w:p>
    <w:p w14:paraId="3E3E4EAF">
      <w:pPr>
        <w:spacing w:line="360" w:lineRule="auto"/>
        <w:ind w:firstLine="480" w:firstLineChars="200"/>
        <w:jc w:val="left"/>
        <w:rPr>
          <w:rFonts w:hint="default" w:ascii="Times New Roman" w:hAnsi="Times New Roman" w:eastAsia="宋体" w:cs="Times New Roman"/>
          <w:color w:val="auto"/>
        </w:rPr>
      </w:pPr>
      <w:r>
        <w:rPr>
          <w:rFonts w:hint="default" w:ascii="Times New Roman" w:hAnsi="Times New Roman" w:eastAsia="宋体" w:cs="Times New Roman"/>
          <w:color w:val="auto"/>
          <w:sz w:val="24"/>
          <w:shd w:val="clear" w:color="auto" w:fill="FFFFFF"/>
          <w:lang w:val="en-US" w:eastAsia="zh-CN"/>
        </w:rPr>
        <w:t>2、</w:t>
      </w:r>
      <w:r>
        <w:rPr>
          <w:rFonts w:hint="default" w:ascii="Times New Roman" w:hAnsi="Times New Roman" w:eastAsia="宋体" w:cs="Times New Roman"/>
          <w:snapToGrid w:val="0"/>
          <w:color w:val="auto"/>
          <w:kern w:val="0"/>
          <w:sz w:val="24"/>
          <w:szCs w:val="24"/>
        </w:rPr>
        <w:t>排水沟采用砖砌，做法详见排水沟做法大样图。</w:t>
      </w:r>
    </w:p>
    <w:p w14:paraId="69E68306">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检查井</w:t>
      </w:r>
      <w:r>
        <w:rPr>
          <w:rFonts w:hint="default" w:ascii="Times New Roman" w:hAnsi="Times New Roman" w:eastAsia="宋体" w:cs="Times New Roman"/>
          <w:snapToGrid w:val="0"/>
          <w:color w:val="auto"/>
          <w:kern w:val="0"/>
          <w:sz w:val="24"/>
          <w:szCs w:val="24"/>
          <w:lang w:val="en-US" w:eastAsia="zh-CN"/>
        </w:rPr>
        <w:t>盖采用</w:t>
      </w:r>
      <w:r>
        <w:rPr>
          <w:rFonts w:hint="eastAsia" w:cs="Times New Roman"/>
          <w:snapToGrid w:val="0"/>
          <w:color w:val="auto"/>
          <w:kern w:val="0"/>
          <w:sz w:val="24"/>
          <w:szCs w:val="24"/>
          <w:lang w:val="en-US" w:eastAsia="zh-CN"/>
        </w:rPr>
        <w:t>D400</w:t>
      </w:r>
      <w:r>
        <w:rPr>
          <w:rFonts w:hint="default" w:ascii="Times New Roman" w:hAnsi="Times New Roman" w:eastAsia="宋体" w:cs="Times New Roman"/>
          <w:snapToGrid w:val="0"/>
          <w:color w:val="auto"/>
          <w:kern w:val="0"/>
          <w:sz w:val="24"/>
          <w:szCs w:val="24"/>
          <w:lang w:val="en-US" w:eastAsia="zh-CN"/>
        </w:rPr>
        <w:t>球墨铸铁井盖</w:t>
      </w:r>
      <w:r>
        <w:rPr>
          <w:rFonts w:hint="default" w:ascii="Times New Roman" w:hAnsi="Times New Roman" w:eastAsia="宋体" w:cs="Times New Roman"/>
          <w:snapToGrid w:val="0"/>
          <w:color w:val="auto"/>
          <w:kern w:val="0"/>
          <w:sz w:val="24"/>
          <w:szCs w:val="24"/>
        </w:rPr>
        <w:t>。</w:t>
      </w:r>
      <w:r>
        <w:rPr>
          <w:rFonts w:hint="default" w:ascii="Times New Roman" w:hAnsi="Times New Roman" w:eastAsia="宋体" w:cs="Times New Roman"/>
          <w:snapToGrid w:val="0"/>
          <w:color w:val="auto"/>
          <w:kern w:val="0"/>
          <w:sz w:val="24"/>
          <w:szCs w:val="24"/>
          <w:lang w:val="en-US" w:eastAsia="zh-CN"/>
        </w:rPr>
        <w:t>位于农田</w:t>
      </w:r>
      <w:r>
        <w:rPr>
          <w:rFonts w:hint="default" w:ascii="Times New Roman" w:hAnsi="Times New Roman" w:eastAsia="宋体" w:cs="Times New Roman"/>
          <w:color w:val="auto"/>
          <w:sz w:val="24"/>
          <w:shd w:val="clear" w:color="auto" w:fill="FFFFFF"/>
          <w:lang w:val="en-US" w:eastAsia="zh-CN"/>
        </w:rPr>
        <w:t>中的检查井，井盖面不低于田埂高度；位于绿化带中的检查井，井盖面高于绿化带地表15cm；车行道</w:t>
      </w:r>
      <w:r>
        <w:rPr>
          <w:rFonts w:hint="default" w:ascii="Times New Roman" w:hAnsi="Times New Roman" w:eastAsia="宋体" w:cs="Times New Roman"/>
          <w:snapToGrid w:val="0"/>
          <w:color w:val="auto"/>
          <w:kern w:val="0"/>
          <w:sz w:val="24"/>
          <w:szCs w:val="24"/>
        </w:rPr>
        <w:t>所选井盖、井座应符合国家标准《检查井盖》（GB/T 23858-2009）和《铸铁检查井盖》（CJ/T 511-2017）的要求，检查井井盖、盖座安装要求与路面平整。</w:t>
      </w:r>
    </w:p>
    <w:p w14:paraId="03F5F981">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4、</w:t>
      </w:r>
      <w:r>
        <w:rPr>
          <w:rFonts w:hint="default" w:ascii="Times New Roman" w:hAnsi="Times New Roman" w:eastAsia="宋体" w:cs="Times New Roman"/>
          <w:snapToGrid w:val="0"/>
          <w:color w:val="auto"/>
          <w:kern w:val="0"/>
          <w:sz w:val="24"/>
          <w:szCs w:val="24"/>
        </w:rPr>
        <w:t>所有检查井应安装防坠落网，要求其承载重量不小于</w:t>
      </w:r>
      <w:r>
        <w:rPr>
          <w:rFonts w:hint="default" w:ascii="Times New Roman" w:hAnsi="Times New Roman" w:eastAsia="宋体" w:cs="Times New Roman"/>
          <w:snapToGrid w:val="0"/>
          <w:color w:val="auto"/>
          <w:kern w:val="0"/>
          <w:sz w:val="24"/>
          <w:szCs w:val="24"/>
          <w:lang w:val="en-US" w:eastAsia="zh-CN"/>
        </w:rPr>
        <w:t>120</w:t>
      </w:r>
      <w:r>
        <w:rPr>
          <w:rFonts w:hint="default" w:ascii="Times New Roman" w:hAnsi="Times New Roman" w:eastAsia="宋体" w:cs="Times New Roman"/>
          <w:snapToGrid w:val="0"/>
          <w:color w:val="auto"/>
          <w:kern w:val="0"/>
          <w:sz w:val="24"/>
          <w:szCs w:val="24"/>
        </w:rPr>
        <w:t>KG。</w:t>
      </w:r>
    </w:p>
    <w:p w14:paraId="49251DA3">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5、</w:t>
      </w:r>
      <w:r>
        <w:rPr>
          <w:rFonts w:hint="default" w:ascii="Times New Roman" w:hAnsi="Times New Roman" w:eastAsia="宋体" w:cs="Times New Roman"/>
          <w:snapToGrid w:val="0"/>
          <w:color w:val="auto"/>
          <w:kern w:val="0"/>
          <w:sz w:val="24"/>
          <w:szCs w:val="24"/>
        </w:rPr>
        <w:t>在排水管道每隔</w:t>
      </w:r>
      <w:r>
        <w:rPr>
          <w:rFonts w:hint="eastAsia"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00米左右的距离的检查井内设置沉泥槽，沉泥槽深度为0.</w:t>
      </w:r>
      <w:r>
        <w:rPr>
          <w:rFonts w:hint="eastAsia"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m</w:t>
      </w:r>
      <w:r>
        <w:rPr>
          <w:rFonts w:hint="eastAsia" w:cs="Times New Roman"/>
          <w:snapToGrid w:val="0"/>
          <w:color w:val="auto"/>
          <w:kern w:val="0"/>
          <w:sz w:val="24"/>
          <w:szCs w:val="24"/>
          <w:lang w:eastAsia="zh-CN"/>
        </w:rPr>
        <w:t>，</w:t>
      </w:r>
      <w:r>
        <w:rPr>
          <w:rFonts w:hint="eastAsia" w:cs="Times New Roman"/>
          <w:snapToGrid w:val="0"/>
          <w:color w:val="auto"/>
          <w:kern w:val="0"/>
          <w:sz w:val="24"/>
          <w:szCs w:val="24"/>
          <w:lang w:val="en-US" w:eastAsia="zh-CN"/>
        </w:rPr>
        <w:t>多根污水管道交汇处也应设沉泥槽</w:t>
      </w:r>
      <w:r>
        <w:rPr>
          <w:rFonts w:hint="default" w:ascii="Times New Roman" w:hAnsi="Times New Roman" w:eastAsia="宋体" w:cs="Times New Roman"/>
          <w:snapToGrid w:val="0"/>
          <w:color w:val="auto"/>
          <w:kern w:val="0"/>
          <w:sz w:val="24"/>
          <w:szCs w:val="24"/>
        </w:rPr>
        <w:t>。</w:t>
      </w:r>
    </w:p>
    <w:p w14:paraId="7D5C063A">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六</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施工验收</w:t>
      </w:r>
    </w:p>
    <w:p w14:paraId="12C0EF84">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按《给水排水管道工程施工及验收规范（GB 50268-2008）》作施工验收。</w:t>
      </w:r>
    </w:p>
    <w:p w14:paraId="19620E67">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全部污水管</w:t>
      </w:r>
      <w:r>
        <w:rPr>
          <w:rFonts w:hint="default" w:ascii="Times New Roman" w:hAnsi="Times New Roman" w:eastAsia="宋体" w:cs="Times New Roman"/>
          <w:snapToGrid w:val="0"/>
          <w:color w:val="auto"/>
          <w:kern w:val="0"/>
          <w:sz w:val="24"/>
          <w:szCs w:val="24"/>
          <w:lang w:val="en-US" w:eastAsia="zh-CN"/>
        </w:rPr>
        <w:t>渠</w:t>
      </w:r>
      <w:r>
        <w:rPr>
          <w:rFonts w:hint="default" w:ascii="Times New Roman" w:hAnsi="Times New Roman" w:eastAsia="宋体" w:cs="Times New Roman"/>
          <w:snapToGrid w:val="0"/>
          <w:color w:val="auto"/>
          <w:kern w:val="0"/>
          <w:sz w:val="24"/>
          <w:szCs w:val="24"/>
        </w:rPr>
        <w:t>要求作闭水试验。</w:t>
      </w:r>
    </w:p>
    <w:p w14:paraId="24B5BC1C">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七</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施工注意事项</w:t>
      </w:r>
    </w:p>
    <w:p w14:paraId="077A4A9D">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本工程属于市政基础设施工程，建议需由符合国家要求的具有管道施工经验的施工单位承担。</w:t>
      </w:r>
    </w:p>
    <w:p w14:paraId="4AA6EE6F">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在认真熟悉设计图纸的基础上，做好整个工程的施工组织设计，宜安排在非雨季节施工。</w:t>
      </w:r>
    </w:p>
    <w:p w14:paraId="7455E85D">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施工单位应根据建设单位提供的施工界域内地下管线等构建筑物资料、工程地质、水文地质和河道水文资料，组织有关施工技术管理人员深入沿线调查，掌握现场实际情况，做好施工准备工作。</w:t>
      </w:r>
    </w:p>
    <w:p w14:paraId="075D92C5">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4、</w:t>
      </w:r>
      <w:r>
        <w:rPr>
          <w:rFonts w:hint="default" w:ascii="Times New Roman" w:hAnsi="Times New Roman" w:eastAsia="宋体" w:cs="Times New Roman"/>
          <w:snapToGrid w:val="0"/>
          <w:color w:val="auto"/>
          <w:kern w:val="0"/>
          <w:sz w:val="24"/>
          <w:szCs w:val="24"/>
        </w:rPr>
        <w:t>施工前应严格按照《给水排水管道工程施工及验收规范（GB 50268-2008）》作施工准备，施工前，必须调查核实道路、排水管、管道接口、河道及其它管线等相关构筑物位置、高程等基本资料，若存在矛盾或其它实施障碍，应在正式开工前提出并解决。若在施工期间出现因前期调查不清而未提前解决的实施障碍，由施工方负责解决方案，并经设计人员审核。</w:t>
      </w:r>
    </w:p>
    <w:p w14:paraId="3E923F7B">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5、</w:t>
      </w:r>
      <w:r>
        <w:rPr>
          <w:rFonts w:hint="default" w:ascii="Times New Roman" w:hAnsi="Times New Roman" w:eastAsia="宋体" w:cs="Times New Roman"/>
          <w:snapToGrid w:val="0"/>
          <w:color w:val="auto"/>
          <w:kern w:val="0"/>
          <w:sz w:val="24"/>
          <w:szCs w:val="24"/>
        </w:rPr>
        <w:t>施工中应严格执行国家现行各有关施工及验收规范，构筑物执行《给水排水构筑物工程施工及验收规范》（GB 50141-2008），管道施工执行《给水排水管道工程施工及验收规范》（GB 50268-2008）。</w:t>
      </w:r>
    </w:p>
    <w:p w14:paraId="56053054">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6、</w:t>
      </w:r>
      <w:r>
        <w:rPr>
          <w:rFonts w:hint="default" w:ascii="Times New Roman" w:hAnsi="Times New Roman" w:eastAsia="宋体" w:cs="Times New Roman"/>
          <w:snapToGrid w:val="0"/>
          <w:color w:val="auto"/>
          <w:kern w:val="0"/>
          <w:sz w:val="24"/>
          <w:szCs w:val="24"/>
        </w:rPr>
        <w:t>施工中建设单位、监理单位、地勘单位、质量监督部门和施工单位应共同做好各个阶段的施工验收工作，特别是隐蔽工程的施工记录和验收工作（应严格按照《给水排水构筑物工程施工及验收规范》9.3节执行），必要时通知设计单位参加验收。</w:t>
      </w:r>
    </w:p>
    <w:p w14:paraId="06F59C58">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7、</w:t>
      </w:r>
      <w:r>
        <w:rPr>
          <w:rFonts w:hint="default" w:ascii="Times New Roman" w:hAnsi="Times New Roman" w:eastAsia="宋体" w:cs="Times New Roman"/>
          <w:snapToGrid w:val="0"/>
          <w:color w:val="auto"/>
          <w:kern w:val="0"/>
          <w:sz w:val="24"/>
          <w:szCs w:val="24"/>
        </w:rPr>
        <w:t>沟漕开挖中，应对适宜回填的土方分别堆放并采取保护措施，尽可能避免或减少借土回填。</w:t>
      </w:r>
    </w:p>
    <w:p w14:paraId="23E4EAF2">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8、</w:t>
      </w:r>
      <w:r>
        <w:rPr>
          <w:rFonts w:hint="default" w:ascii="Times New Roman" w:hAnsi="Times New Roman" w:eastAsia="宋体" w:cs="Times New Roman"/>
          <w:snapToGrid w:val="0"/>
          <w:color w:val="auto"/>
          <w:kern w:val="0"/>
          <w:sz w:val="24"/>
          <w:szCs w:val="24"/>
        </w:rPr>
        <w:t>施工时应做好现有管线的保护工作，避免破坏其他管线，如损坏，应及时修复，具体修复工作量以现场发生为准。</w:t>
      </w:r>
    </w:p>
    <w:p w14:paraId="56F3D251">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9、</w:t>
      </w:r>
      <w:r>
        <w:rPr>
          <w:rFonts w:hint="default" w:ascii="Times New Roman" w:hAnsi="Times New Roman" w:eastAsia="宋体" w:cs="Times New Roman"/>
          <w:snapToGrid w:val="0"/>
          <w:color w:val="auto"/>
          <w:kern w:val="0"/>
          <w:sz w:val="24"/>
          <w:szCs w:val="24"/>
        </w:rPr>
        <w:t>本说明未尽事宜，按《给水排水管道工程施工及验收规范（GB 50268-2008）》和国标图集</w:t>
      </w:r>
      <w:r>
        <w:rPr>
          <w:rFonts w:hint="default" w:ascii="Times New Roman" w:hAnsi="Times New Roman" w:eastAsia="宋体" w:cs="Times New Roman"/>
          <w:snapToGrid w:val="0"/>
          <w:color w:val="auto"/>
          <w:kern w:val="0"/>
          <w:sz w:val="24"/>
          <w:szCs w:val="24"/>
          <w:lang w:val="en-US" w:eastAsia="zh-CN"/>
        </w:rPr>
        <w:t>20S515</w:t>
      </w:r>
      <w:r>
        <w:rPr>
          <w:rFonts w:hint="default" w:ascii="Times New Roman" w:hAnsi="Times New Roman" w:eastAsia="宋体" w:cs="Times New Roman"/>
          <w:snapToGrid w:val="0"/>
          <w:color w:val="auto"/>
          <w:kern w:val="0"/>
          <w:sz w:val="24"/>
          <w:szCs w:val="24"/>
        </w:rPr>
        <w:t>执行。</w:t>
      </w:r>
    </w:p>
    <w:p w14:paraId="1576C7ED">
      <w:pP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br w:type="page"/>
      </w:r>
    </w:p>
    <w:p w14:paraId="28BB5244">
      <w:pPr>
        <w:pStyle w:val="3"/>
        <w:numPr>
          <w:ilvl w:val="0"/>
          <w:numId w:val="2"/>
        </w:numPr>
        <w:spacing w:before="0" w:after="0" w:line="360" w:lineRule="auto"/>
        <w:ind w:firstLine="482"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一体化污水处理站设计</w:t>
      </w:r>
    </w:p>
    <w:p w14:paraId="513B3DBB">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（一）工艺设计</w:t>
      </w:r>
    </w:p>
    <w:p w14:paraId="3E8727D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1、设计规模</w:t>
      </w:r>
    </w:p>
    <w:p w14:paraId="495A16F0">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本项目污水处理站设计处理规模为</w:t>
      </w:r>
      <w:r>
        <w:rPr>
          <w:rFonts w:hint="eastAsia" w:cs="Times New Roman"/>
          <w:snapToGrid w:val="0"/>
          <w:color w:val="auto"/>
          <w:kern w:val="0"/>
          <w:sz w:val="24"/>
          <w:szCs w:val="24"/>
          <w:highlight w:val="none"/>
          <w:lang w:val="en-US" w:eastAsia="zh-CN"/>
        </w:rPr>
        <w:t>3</w:t>
      </w:r>
      <w:r>
        <w:rPr>
          <w:rFonts w:hint="default" w:ascii="Times New Roman" w:hAnsi="Times New Roman" w:eastAsia="宋体" w:cs="Times New Roman"/>
          <w:snapToGrid w:val="0"/>
          <w:color w:val="auto"/>
          <w:kern w:val="0"/>
          <w:sz w:val="24"/>
          <w:szCs w:val="24"/>
          <w:highlight w:val="none"/>
          <w:lang w:val="en-US" w:eastAsia="zh-CN"/>
        </w:rPr>
        <w:t>0m³/d。</w:t>
      </w:r>
    </w:p>
    <w:p w14:paraId="567E649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2、工艺流程</w:t>
      </w:r>
    </w:p>
    <w:p w14:paraId="6F61038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本工程采用一体化</w:t>
      </w:r>
      <w:r>
        <w:rPr>
          <w:rFonts w:hint="eastAsia" w:cs="Times New Roman"/>
          <w:snapToGrid w:val="0"/>
          <w:color w:val="auto"/>
          <w:kern w:val="0"/>
          <w:sz w:val="24"/>
          <w:szCs w:val="24"/>
          <w:highlight w:val="none"/>
          <w:lang w:val="en-US" w:eastAsia="zh-CN"/>
        </w:rPr>
        <w:t>污水</w:t>
      </w:r>
      <w:r>
        <w:rPr>
          <w:rFonts w:hint="default" w:ascii="Times New Roman" w:hAnsi="Times New Roman" w:eastAsia="宋体" w:cs="Times New Roman"/>
          <w:snapToGrid w:val="0"/>
          <w:color w:val="auto"/>
          <w:kern w:val="0"/>
          <w:sz w:val="24"/>
          <w:szCs w:val="24"/>
          <w:highlight w:val="none"/>
          <w:lang w:val="en-US" w:eastAsia="zh-CN"/>
        </w:rPr>
        <w:t>处理设备，</w:t>
      </w:r>
      <w:r>
        <w:rPr>
          <w:rFonts w:hint="eastAsia" w:cs="Times New Roman"/>
          <w:snapToGrid w:val="0"/>
          <w:color w:val="auto"/>
          <w:kern w:val="0"/>
          <w:sz w:val="24"/>
          <w:szCs w:val="24"/>
          <w:highlight w:val="none"/>
          <w:lang w:val="en-US" w:eastAsia="zh-CN"/>
        </w:rPr>
        <w:t>工艺为MBBR移动床生物膜处理工艺，</w:t>
      </w:r>
      <w:r>
        <w:rPr>
          <w:rFonts w:hint="default" w:ascii="Times New Roman" w:hAnsi="Times New Roman" w:eastAsia="宋体" w:cs="Times New Roman"/>
          <w:snapToGrid w:val="0"/>
          <w:color w:val="auto"/>
          <w:kern w:val="0"/>
          <w:sz w:val="24"/>
          <w:szCs w:val="24"/>
          <w:highlight w:val="none"/>
          <w:lang w:val="en-US" w:eastAsia="zh-CN"/>
        </w:rPr>
        <w:t>利用生长于填料表面的微生物同步达到去除COD，脱氮除磷的效果，出水水质达到广西壮族自治区《农村生活污水处理设施水污染物排放标准》（DB45_2413-2021）中的</w:t>
      </w:r>
      <w:r>
        <w:rPr>
          <w:rFonts w:hint="eastAsia" w:cs="Times New Roman"/>
          <w:snapToGrid w:val="0"/>
          <w:color w:val="auto"/>
          <w:kern w:val="0"/>
          <w:sz w:val="24"/>
          <w:szCs w:val="24"/>
          <w:highlight w:val="none"/>
          <w:lang w:val="en-US" w:eastAsia="zh-CN"/>
        </w:rPr>
        <w:t>二</w:t>
      </w:r>
      <w:r>
        <w:rPr>
          <w:rFonts w:hint="default" w:ascii="Times New Roman" w:hAnsi="Times New Roman" w:eastAsia="宋体" w:cs="Times New Roman"/>
          <w:snapToGrid w:val="0"/>
          <w:color w:val="auto"/>
          <w:kern w:val="0"/>
          <w:sz w:val="24"/>
          <w:szCs w:val="24"/>
          <w:highlight w:val="none"/>
          <w:lang w:val="en-US" w:eastAsia="zh-CN"/>
        </w:rPr>
        <w:t>级标准。</w:t>
      </w:r>
    </w:p>
    <w:p w14:paraId="523145D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出水水质达到广西壮族自治区《农村生活污水处理设施水污染物排放标准》（DB45_2413-2021）中的</w:t>
      </w:r>
      <w:r>
        <w:rPr>
          <w:rFonts w:hint="eastAsia" w:cs="Times New Roman"/>
          <w:snapToGrid w:val="0"/>
          <w:color w:val="auto"/>
          <w:kern w:val="0"/>
          <w:sz w:val="24"/>
          <w:szCs w:val="24"/>
          <w:highlight w:val="none"/>
          <w:lang w:val="en-US" w:eastAsia="zh-CN"/>
        </w:rPr>
        <w:t>二</w:t>
      </w:r>
      <w:r>
        <w:rPr>
          <w:rFonts w:hint="default" w:ascii="Times New Roman" w:hAnsi="Times New Roman" w:eastAsia="宋体" w:cs="Times New Roman"/>
          <w:snapToGrid w:val="0"/>
          <w:color w:val="auto"/>
          <w:kern w:val="0"/>
          <w:sz w:val="24"/>
          <w:szCs w:val="24"/>
          <w:highlight w:val="none"/>
          <w:lang w:val="en-US" w:eastAsia="zh-CN"/>
        </w:rPr>
        <w:t>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8" w:type="pct"/>
            <w:noWrap w:val="0"/>
            <w:vAlign w:val="center"/>
          </w:tcPr>
          <w:p w14:paraId="24C91AD8">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指标</w:t>
            </w:r>
          </w:p>
        </w:tc>
        <w:tc>
          <w:tcPr>
            <w:tcW w:w="779" w:type="pct"/>
            <w:noWrap w:val="0"/>
            <w:vAlign w:val="center"/>
          </w:tcPr>
          <w:p w14:paraId="4F3F0327">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COD</w:t>
            </w:r>
            <w:r>
              <w:rPr>
                <w:rFonts w:hint="default" w:ascii="Times New Roman" w:hAnsi="Times New Roman" w:eastAsia="宋体" w:cs="Times New Roman"/>
                <w:color w:val="auto"/>
                <w:sz w:val="24"/>
                <w:szCs w:val="24"/>
                <w:highlight w:val="none"/>
                <w:vertAlign w:val="subscript"/>
              </w:rPr>
              <w:t>cr</w:t>
            </w:r>
          </w:p>
          <w:p w14:paraId="21B331E1">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(mg/L)</w:t>
            </w:r>
          </w:p>
        </w:tc>
        <w:tc>
          <w:tcPr>
            <w:tcW w:w="743" w:type="pct"/>
            <w:noWrap w:val="0"/>
            <w:vAlign w:val="center"/>
          </w:tcPr>
          <w:p w14:paraId="65F50E2B">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SS</w:t>
            </w:r>
          </w:p>
          <w:p w14:paraId="7EC40BBA">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09" w:type="pct"/>
            <w:noWrap w:val="0"/>
            <w:vAlign w:val="center"/>
          </w:tcPr>
          <w:p w14:paraId="5E28693C">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NH</w:t>
            </w:r>
            <w:r>
              <w:rPr>
                <w:rFonts w:hint="default" w:ascii="Times New Roman" w:hAnsi="Times New Roman" w:eastAsia="宋体" w:cs="Times New Roman"/>
                <w:color w:val="auto"/>
                <w:sz w:val="24"/>
                <w:szCs w:val="24"/>
                <w:highlight w:val="none"/>
                <w:vertAlign w:val="subscript"/>
              </w:rPr>
              <w:t>3</w:t>
            </w:r>
            <w:r>
              <w:rPr>
                <w:rFonts w:hint="default" w:ascii="Times New Roman" w:hAnsi="Times New Roman" w:eastAsia="宋体" w:cs="Times New Roman"/>
                <w:color w:val="auto"/>
                <w:sz w:val="24"/>
                <w:szCs w:val="24"/>
                <w:highlight w:val="none"/>
              </w:rPr>
              <w:t>-N</w:t>
            </w:r>
          </w:p>
          <w:p w14:paraId="34319FAF">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63" w:type="pct"/>
            <w:noWrap w:val="0"/>
            <w:vAlign w:val="center"/>
          </w:tcPr>
          <w:p w14:paraId="4E87AD4E">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TN</w:t>
            </w:r>
          </w:p>
          <w:p w14:paraId="27DAD68E">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75" w:type="pct"/>
            <w:noWrap w:val="0"/>
            <w:vAlign w:val="center"/>
          </w:tcPr>
          <w:p w14:paraId="58D297B3">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TP</w:t>
            </w:r>
          </w:p>
          <w:p w14:paraId="71763562">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1BC23608">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进水水质</w:t>
            </w:r>
          </w:p>
        </w:tc>
        <w:tc>
          <w:tcPr>
            <w:tcW w:w="779" w:type="pct"/>
            <w:noWrap w:val="0"/>
            <w:vAlign w:val="center"/>
          </w:tcPr>
          <w:p w14:paraId="1CBBC39B">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250</w:t>
            </w:r>
          </w:p>
        </w:tc>
        <w:tc>
          <w:tcPr>
            <w:tcW w:w="743" w:type="pct"/>
            <w:noWrap w:val="0"/>
            <w:vAlign w:val="center"/>
          </w:tcPr>
          <w:p w14:paraId="7C860E6A">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16</w:t>
            </w:r>
          </w:p>
        </w:tc>
        <w:tc>
          <w:tcPr>
            <w:tcW w:w="809" w:type="pct"/>
            <w:noWrap w:val="0"/>
            <w:vAlign w:val="center"/>
          </w:tcPr>
          <w:p w14:paraId="0107E9B6">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40</w:t>
            </w:r>
          </w:p>
        </w:tc>
        <w:tc>
          <w:tcPr>
            <w:tcW w:w="863" w:type="pct"/>
            <w:noWrap w:val="0"/>
            <w:vAlign w:val="center"/>
          </w:tcPr>
          <w:p w14:paraId="56088644">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45</w:t>
            </w:r>
          </w:p>
        </w:tc>
        <w:tc>
          <w:tcPr>
            <w:tcW w:w="875" w:type="pct"/>
            <w:noWrap w:val="0"/>
            <w:vAlign w:val="center"/>
          </w:tcPr>
          <w:p w14:paraId="26A9E973">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4FC239C6">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出水水质</w:t>
            </w:r>
          </w:p>
        </w:tc>
        <w:tc>
          <w:tcPr>
            <w:tcW w:w="779" w:type="pct"/>
            <w:noWrap w:val="0"/>
            <w:vAlign w:val="center"/>
          </w:tcPr>
          <w:p w14:paraId="7787AAFE">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100</w:t>
            </w:r>
          </w:p>
        </w:tc>
        <w:tc>
          <w:tcPr>
            <w:tcW w:w="743" w:type="pct"/>
            <w:noWrap w:val="0"/>
            <w:vAlign w:val="center"/>
          </w:tcPr>
          <w:p w14:paraId="26706FD4">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30</w:t>
            </w:r>
          </w:p>
        </w:tc>
        <w:tc>
          <w:tcPr>
            <w:tcW w:w="809" w:type="pct"/>
            <w:noWrap w:val="0"/>
            <w:vAlign w:val="center"/>
          </w:tcPr>
          <w:p w14:paraId="43CE3444">
            <w:pPr>
              <w:pStyle w:val="114"/>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15</w:t>
            </w:r>
          </w:p>
        </w:tc>
        <w:tc>
          <w:tcPr>
            <w:tcW w:w="863" w:type="pct"/>
            <w:noWrap w:val="0"/>
            <w:vAlign w:val="center"/>
          </w:tcPr>
          <w:p w14:paraId="0322890A">
            <w:pPr>
              <w:pStyle w:val="114"/>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w:t>
            </w:r>
          </w:p>
        </w:tc>
        <w:tc>
          <w:tcPr>
            <w:tcW w:w="875" w:type="pct"/>
            <w:noWrap w:val="0"/>
            <w:vAlign w:val="center"/>
          </w:tcPr>
          <w:p w14:paraId="283D6CBF">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3</w:t>
            </w:r>
          </w:p>
        </w:tc>
      </w:tr>
    </w:tbl>
    <w:p w14:paraId="6F997265">
      <w:pPr>
        <w:numPr>
          <w:ilvl w:val="0"/>
          <w:numId w:val="0"/>
        </w:numPr>
        <w:spacing w:line="360" w:lineRule="auto"/>
        <w:ind w:leftChars="200"/>
        <w:jc w:val="left"/>
        <w:rPr>
          <w:rFonts w:hint="default" w:ascii="Times New Roman" w:hAnsi="Times New Roman" w:eastAsia="宋体" w:cs="Times New Roman"/>
          <w:b/>
          <w:bCs/>
          <w:snapToGrid w:val="0"/>
          <w:color w:val="auto"/>
          <w:kern w:val="0"/>
          <w:sz w:val="24"/>
          <w:szCs w:val="24"/>
          <w:highlight w:val="none"/>
        </w:rPr>
      </w:pPr>
      <w:r>
        <w:rPr>
          <w:rFonts w:hint="default" w:ascii="Times New Roman" w:hAnsi="Times New Roman" w:eastAsia="宋体" w:cs="Times New Roman"/>
          <w:b/>
          <w:bCs/>
          <w:snapToGrid w:val="0"/>
          <w:color w:val="auto"/>
          <w:kern w:val="0"/>
          <w:sz w:val="24"/>
          <w:szCs w:val="24"/>
          <w:highlight w:val="none"/>
          <w:lang w:val="en-US" w:eastAsia="zh-CN"/>
        </w:rPr>
        <w:t>4、工艺</w:t>
      </w:r>
      <w:r>
        <w:rPr>
          <w:rFonts w:hint="default" w:ascii="Times New Roman" w:hAnsi="Times New Roman" w:eastAsia="宋体" w:cs="Times New Roman"/>
          <w:b/>
          <w:bCs/>
          <w:snapToGrid w:val="0"/>
          <w:color w:val="auto"/>
          <w:kern w:val="0"/>
          <w:sz w:val="24"/>
          <w:szCs w:val="24"/>
          <w:highlight w:val="none"/>
        </w:rPr>
        <w:t>设计</w:t>
      </w:r>
    </w:p>
    <w:p w14:paraId="7F3432C9">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t>（1）格栅井及调节池</w:t>
      </w:r>
    </w:p>
    <w:p w14:paraId="01E8862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rPr>
        <w:t>设计功能：拦截污水中的杂物、渣滓；</w:t>
      </w:r>
    </w:p>
    <w:p w14:paraId="18B8011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eastAsia="zh-CN"/>
        </w:rPr>
      </w:pPr>
      <w:r>
        <w:rPr>
          <w:rFonts w:hint="default" w:ascii="Times New Roman" w:hAnsi="Times New Roman" w:eastAsia="宋体" w:cs="Times New Roman"/>
          <w:snapToGrid w:val="0"/>
          <w:color w:val="auto"/>
          <w:kern w:val="0"/>
          <w:sz w:val="24"/>
          <w:szCs w:val="24"/>
          <w:highlight w:val="none"/>
          <w:lang w:val="en-US" w:eastAsia="zh-CN"/>
        </w:rPr>
        <w:t>2）</w:t>
      </w:r>
      <w:r>
        <w:rPr>
          <w:rFonts w:hint="default" w:ascii="Times New Roman" w:hAnsi="Times New Roman" w:eastAsia="宋体" w:cs="Times New Roman"/>
          <w:snapToGrid w:val="0"/>
          <w:color w:val="auto"/>
          <w:kern w:val="0"/>
          <w:sz w:val="24"/>
          <w:szCs w:val="24"/>
          <w:highlight w:val="none"/>
        </w:rPr>
        <w:t>格栅设计流量：Q平均=</w:t>
      </w:r>
      <w:r>
        <w:rPr>
          <w:rFonts w:hint="eastAsia" w:cs="Times New Roman"/>
          <w:snapToGrid w:val="0"/>
          <w:color w:val="auto"/>
          <w:kern w:val="0"/>
          <w:sz w:val="24"/>
          <w:szCs w:val="24"/>
          <w:highlight w:val="none"/>
          <w:lang w:val="en-US" w:eastAsia="zh-CN"/>
        </w:rPr>
        <w:t>1.25</w:t>
      </w:r>
      <w:r>
        <w:rPr>
          <w:rFonts w:hint="default" w:ascii="Times New Roman" w:hAnsi="Times New Roman" w:eastAsia="宋体" w:cs="Times New Roman"/>
          <w:snapToGrid w:val="0"/>
          <w:color w:val="auto"/>
          <w:kern w:val="0"/>
          <w:sz w:val="24"/>
          <w:szCs w:val="24"/>
          <w:highlight w:val="none"/>
        </w:rPr>
        <w:t>m</w:t>
      </w:r>
      <w:r>
        <w:rPr>
          <w:rFonts w:hint="default" w:ascii="Times New Roman" w:hAnsi="Times New Roman" w:eastAsia="宋体" w:cs="Times New Roman"/>
          <w:snapToGrid w:val="0"/>
          <w:color w:val="auto"/>
          <w:kern w:val="0"/>
          <w:sz w:val="24"/>
          <w:szCs w:val="24"/>
          <w:highlight w:val="none"/>
          <w:vertAlign w:val="superscript"/>
        </w:rPr>
        <w:t>3</w:t>
      </w:r>
      <w:r>
        <w:rPr>
          <w:rFonts w:hint="default" w:ascii="Times New Roman" w:hAnsi="Times New Roman" w:eastAsia="宋体" w:cs="Times New Roman"/>
          <w:snapToGrid w:val="0"/>
          <w:color w:val="auto"/>
          <w:kern w:val="0"/>
          <w:sz w:val="24"/>
          <w:szCs w:val="24"/>
          <w:highlight w:val="none"/>
        </w:rPr>
        <w:t>/h，变化系数Kz=2.</w:t>
      </w:r>
      <w:r>
        <w:rPr>
          <w:rFonts w:hint="default" w:ascii="Times New Roman" w:hAnsi="Times New Roman" w:eastAsia="宋体" w:cs="Times New Roman"/>
          <w:snapToGrid w:val="0"/>
          <w:color w:val="auto"/>
          <w:kern w:val="0"/>
          <w:sz w:val="24"/>
          <w:szCs w:val="24"/>
          <w:highlight w:val="none"/>
          <w:lang w:val="en-US" w:eastAsia="zh-CN"/>
        </w:rPr>
        <w:t>7</w:t>
      </w:r>
      <w:r>
        <w:rPr>
          <w:rFonts w:hint="default" w:ascii="Times New Roman" w:hAnsi="Times New Roman" w:eastAsia="宋体" w:cs="Times New Roman"/>
          <w:snapToGrid w:val="0"/>
          <w:color w:val="auto"/>
          <w:kern w:val="0"/>
          <w:sz w:val="24"/>
          <w:szCs w:val="24"/>
          <w:highlight w:val="none"/>
        </w:rPr>
        <w:t>，Qmax=</w:t>
      </w:r>
      <w:r>
        <w:rPr>
          <w:rFonts w:hint="eastAsia" w:cs="Times New Roman"/>
          <w:snapToGrid w:val="0"/>
          <w:color w:val="auto"/>
          <w:kern w:val="0"/>
          <w:sz w:val="24"/>
          <w:szCs w:val="24"/>
          <w:highlight w:val="none"/>
          <w:lang w:val="en-US" w:eastAsia="zh-CN"/>
        </w:rPr>
        <w:t>3.38</w:t>
      </w:r>
      <w:r>
        <w:rPr>
          <w:rFonts w:hint="default" w:ascii="Times New Roman" w:hAnsi="Times New Roman" w:eastAsia="宋体" w:cs="Times New Roman"/>
          <w:snapToGrid w:val="0"/>
          <w:color w:val="auto"/>
          <w:kern w:val="0"/>
          <w:sz w:val="24"/>
          <w:szCs w:val="24"/>
          <w:highlight w:val="none"/>
        </w:rPr>
        <w:t>m</w:t>
      </w:r>
      <w:r>
        <w:rPr>
          <w:rFonts w:hint="default" w:ascii="Times New Roman" w:hAnsi="Times New Roman" w:eastAsia="宋体" w:cs="Times New Roman"/>
          <w:snapToGrid w:val="0"/>
          <w:color w:val="auto"/>
          <w:kern w:val="0"/>
          <w:sz w:val="24"/>
          <w:szCs w:val="24"/>
          <w:highlight w:val="none"/>
          <w:vertAlign w:val="superscript"/>
        </w:rPr>
        <w:t>3</w:t>
      </w:r>
      <w:r>
        <w:rPr>
          <w:rFonts w:hint="default" w:ascii="Times New Roman" w:hAnsi="Times New Roman" w:eastAsia="宋体" w:cs="Times New Roman"/>
          <w:snapToGrid w:val="0"/>
          <w:color w:val="auto"/>
          <w:kern w:val="0"/>
          <w:sz w:val="24"/>
          <w:szCs w:val="24"/>
          <w:highlight w:val="none"/>
        </w:rPr>
        <w:t>/h</w:t>
      </w:r>
      <w:r>
        <w:rPr>
          <w:rFonts w:hint="default" w:ascii="Times New Roman" w:hAnsi="Times New Roman" w:eastAsia="宋体" w:cs="Times New Roman"/>
          <w:snapToGrid w:val="0"/>
          <w:color w:val="auto"/>
          <w:kern w:val="0"/>
          <w:sz w:val="24"/>
          <w:szCs w:val="24"/>
          <w:highlight w:val="none"/>
          <w:lang w:eastAsia="zh-CN"/>
        </w:rPr>
        <w:t>。</w:t>
      </w:r>
    </w:p>
    <w:p w14:paraId="26353C0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3）主要设备材料：</w:t>
      </w:r>
    </w:p>
    <w:p w14:paraId="609471D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①</w:t>
      </w:r>
      <w:r>
        <w:rPr>
          <w:rFonts w:hint="eastAsia" w:cs="Times New Roman"/>
          <w:snapToGrid w:val="0"/>
          <w:color w:val="auto"/>
          <w:kern w:val="0"/>
          <w:sz w:val="24"/>
          <w:szCs w:val="24"/>
          <w:highlight w:val="none"/>
          <w:lang w:val="en-US" w:eastAsia="zh-CN"/>
        </w:rPr>
        <w:t>不锈钢格栅</w:t>
      </w:r>
      <w:r>
        <w:rPr>
          <w:rFonts w:hint="default" w:ascii="Times New Roman" w:hAnsi="Times New Roman" w:eastAsia="宋体" w:cs="Times New Roman"/>
          <w:snapToGrid w:val="0"/>
          <w:color w:val="auto"/>
          <w:kern w:val="0"/>
          <w:sz w:val="24"/>
          <w:szCs w:val="24"/>
          <w:highlight w:val="none"/>
          <w:lang w:val="en-US" w:eastAsia="zh-CN"/>
        </w:rPr>
        <w:t>，1套，尺寸</w:t>
      </w:r>
      <w:r>
        <w:rPr>
          <w:rFonts w:hint="eastAsia" w:cs="Times New Roman"/>
          <w:snapToGrid w:val="0"/>
          <w:color w:val="auto"/>
          <w:kern w:val="0"/>
          <w:sz w:val="24"/>
          <w:szCs w:val="24"/>
          <w:highlight w:val="none"/>
          <w:lang w:val="en-US" w:eastAsia="zh-CN"/>
        </w:rPr>
        <w:t>7</w:t>
      </w:r>
      <w:r>
        <w:rPr>
          <w:rFonts w:hint="default" w:ascii="Times New Roman" w:hAnsi="Times New Roman" w:eastAsia="宋体" w:cs="Times New Roman"/>
          <w:snapToGrid w:val="0"/>
          <w:color w:val="auto"/>
          <w:kern w:val="0"/>
          <w:sz w:val="24"/>
          <w:szCs w:val="24"/>
          <w:highlight w:val="none"/>
          <w:lang w:val="en-US" w:eastAsia="zh-CN"/>
        </w:rPr>
        <w:t>00×</w:t>
      </w:r>
      <w:r>
        <w:rPr>
          <w:rFonts w:hint="eastAsia"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lang w:val="en-US" w:eastAsia="zh-CN"/>
        </w:rPr>
        <w:t>0</w:t>
      </w:r>
      <w:r>
        <w:rPr>
          <w:rFonts w:hint="eastAsia" w:cs="Times New Roman"/>
          <w:snapToGrid w:val="0"/>
          <w:color w:val="auto"/>
          <w:kern w:val="0"/>
          <w:sz w:val="24"/>
          <w:szCs w:val="24"/>
          <w:highlight w:val="none"/>
          <w:lang w:val="en-US" w:eastAsia="zh-CN"/>
        </w:rPr>
        <w:t>0</w:t>
      </w:r>
      <w:r>
        <w:rPr>
          <w:rFonts w:hint="default" w:ascii="Times New Roman" w:hAnsi="Times New Roman" w:eastAsia="宋体" w:cs="Times New Roman"/>
          <w:snapToGrid w:val="0"/>
          <w:color w:val="auto"/>
          <w:kern w:val="0"/>
          <w:sz w:val="24"/>
          <w:szCs w:val="24"/>
          <w:highlight w:val="none"/>
          <w:lang w:val="en-US" w:eastAsia="zh-CN"/>
        </w:rPr>
        <w:t>0</w:t>
      </w:r>
      <w:r>
        <w:rPr>
          <w:rFonts w:hint="eastAsia" w:cs="Times New Roman"/>
          <w:snapToGrid w:val="0"/>
          <w:color w:val="auto"/>
          <w:kern w:val="0"/>
          <w:sz w:val="24"/>
          <w:szCs w:val="24"/>
          <w:highlight w:val="none"/>
          <w:lang w:val="en-US" w:eastAsia="zh-CN"/>
        </w:rPr>
        <w:t>mm，现场制作</w:t>
      </w:r>
      <w:r>
        <w:rPr>
          <w:rFonts w:hint="default" w:ascii="Times New Roman" w:hAnsi="Times New Roman" w:eastAsia="宋体" w:cs="Times New Roman"/>
          <w:snapToGrid w:val="0"/>
          <w:color w:val="auto"/>
          <w:kern w:val="0"/>
          <w:sz w:val="24"/>
          <w:szCs w:val="24"/>
          <w:highlight w:val="none"/>
          <w:lang w:val="en-US" w:eastAsia="zh-CN"/>
        </w:rPr>
        <w:t>；</w:t>
      </w:r>
    </w:p>
    <w:p w14:paraId="6B7B858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②潜污泵，</w:t>
      </w:r>
      <w:r>
        <w:rPr>
          <w:rFonts w:hint="eastAsia"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lang w:val="en-US" w:eastAsia="zh-CN"/>
        </w:rPr>
        <w:t>台，流量</w:t>
      </w:r>
      <w:r>
        <w:rPr>
          <w:rFonts w:hint="eastAsia" w:cs="Times New Roman"/>
          <w:snapToGrid w:val="0"/>
          <w:color w:val="auto"/>
          <w:kern w:val="0"/>
          <w:sz w:val="24"/>
          <w:szCs w:val="24"/>
          <w:highlight w:val="none"/>
          <w:lang w:val="en-US" w:eastAsia="zh-CN"/>
        </w:rPr>
        <w:t>1.5</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3</w:t>
      </w:r>
      <w:r>
        <w:rPr>
          <w:rFonts w:hint="default" w:ascii="Times New Roman" w:hAnsi="Times New Roman" w:eastAsia="宋体" w:cs="Times New Roman"/>
          <w:snapToGrid w:val="0"/>
          <w:color w:val="auto"/>
          <w:kern w:val="0"/>
          <w:sz w:val="24"/>
          <w:szCs w:val="24"/>
          <w:highlight w:val="none"/>
          <w:lang w:val="en-US" w:eastAsia="zh-CN"/>
        </w:rPr>
        <w:t>/h，扬程</w:t>
      </w:r>
      <w:r>
        <w:rPr>
          <w:rFonts w:hint="eastAsia" w:cs="Times New Roman"/>
          <w:snapToGrid w:val="0"/>
          <w:color w:val="auto"/>
          <w:kern w:val="0"/>
          <w:sz w:val="24"/>
          <w:szCs w:val="24"/>
          <w:highlight w:val="none"/>
          <w:lang w:val="en-US" w:eastAsia="zh-CN"/>
        </w:rPr>
        <w:t>12</w:t>
      </w:r>
      <w:r>
        <w:rPr>
          <w:rFonts w:hint="default" w:ascii="Times New Roman" w:hAnsi="Times New Roman" w:eastAsia="宋体" w:cs="Times New Roman"/>
          <w:snapToGrid w:val="0"/>
          <w:color w:val="auto"/>
          <w:kern w:val="0"/>
          <w:sz w:val="24"/>
          <w:szCs w:val="24"/>
          <w:highlight w:val="none"/>
          <w:lang w:val="en-US" w:eastAsia="zh-CN"/>
        </w:rPr>
        <w:t>m，功率</w:t>
      </w:r>
      <w:r>
        <w:rPr>
          <w:rFonts w:hint="eastAsia" w:cs="Times New Roman"/>
          <w:snapToGrid w:val="0"/>
          <w:color w:val="auto"/>
          <w:kern w:val="0"/>
          <w:sz w:val="24"/>
          <w:szCs w:val="24"/>
          <w:highlight w:val="none"/>
          <w:lang w:val="en-US" w:eastAsia="zh-CN"/>
        </w:rPr>
        <w:t>250</w:t>
      </w:r>
      <w:r>
        <w:rPr>
          <w:rFonts w:hint="default" w:ascii="Times New Roman" w:hAnsi="Times New Roman" w:eastAsia="宋体" w:cs="Times New Roman"/>
          <w:snapToGrid w:val="0"/>
          <w:color w:val="auto"/>
          <w:kern w:val="0"/>
          <w:sz w:val="24"/>
          <w:szCs w:val="24"/>
          <w:highlight w:val="none"/>
          <w:lang w:val="en-US" w:eastAsia="zh-CN"/>
        </w:rPr>
        <w:t>W。</w:t>
      </w:r>
    </w:p>
    <w:p w14:paraId="01674E36">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③浮球液位计0~5m，4~20mA。</w:t>
      </w:r>
    </w:p>
    <w:p w14:paraId="7C4D1110">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rPr>
      </w:pPr>
      <w:r>
        <w:rPr>
          <w:rFonts w:hint="default" w:ascii="Times New Roman" w:hAnsi="Times New Roman" w:eastAsia="宋体" w:cs="Times New Roman"/>
          <w:b/>
          <w:bCs/>
          <w:snapToGrid w:val="0"/>
          <w:color w:val="auto"/>
          <w:kern w:val="0"/>
          <w:sz w:val="24"/>
          <w:szCs w:val="24"/>
          <w:highlight w:val="none"/>
          <w:lang w:val="en-US" w:eastAsia="zh-CN"/>
        </w:rPr>
        <w:t>（2）一体化</w:t>
      </w:r>
      <w:r>
        <w:rPr>
          <w:rFonts w:hint="eastAsia" w:cs="Times New Roman"/>
          <w:b/>
          <w:bCs/>
          <w:snapToGrid w:val="0"/>
          <w:color w:val="auto"/>
          <w:kern w:val="0"/>
          <w:sz w:val="24"/>
          <w:szCs w:val="24"/>
          <w:highlight w:val="none"/>
          <w:lang w:val="en-US" w:eastAsia="zh-CN"/>
        </w:rPr>
        <w:t>污水</w:t>
      </w:r>
      <w:r>
        <w:rPr>
          <w:rFonts w:hint="default" w:ascii="Times New Roman" w:hAnsi="Times New Roman" w:eastAsia="宋体" w:cs="Times New Roman"/>
          <w:b/>
          <w:bCs/>
          <w:snapToGrid w:val="0"/>
          <w:color w:val="auto"/>
          <w:kern w:val="0"/>
          <w:sz w:val="24"/>
          <w:szCs w:val="24"/>
          <w:highlight w:val="none"/>
          <w:lang w:val="en-US" w:eastAsia="zh-CN"/>
        </w:rPr>
        <w:t>处理设备</w:t>
      </w:r>
    </w:p>
    <w:p w14:paraId="06FEE4F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rPr>
        <w:t>设计功能：去除各类污染物、固液分离。</w:t>
      </w:r>
    </w:p>
    <w:p w14:paraId="42CB7E6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2）</w:t>
      </w:r>
      <w:r>
        <w:rPr>
          <w:rFonts w:hint="default" w:ascii="Times New Roman" w:hAnsi="Times New Roman" w:eastAsia="宋体" w:cs="Times New Roman"/>
          <w:snapToGrid w:val="0"/>
          <w:color w:val="auto"/>
          <w:kern w:val="0"/>
          <w:sz w:val="24"/>
          <w:szCs w:val="24"/>
          <w:highlight w:val="none"/>
        </w:rPr>
        <w:t>设备规格：</w:t>
      </w:r>
      <w:r>
        <w:rPr>
          <w:rFonts w:hint="eastAsia" w:cs="Times New Roman"/>
          <w:snapToGrid w:val="0"/>
          <w:color w:val="auto"/>
          <w:kern w:val="0"/>
          <w:sz w:val="24"/>
          <w:szCs w:val="24"/>
          <w:highlight w:val="none"/>
          <w:lang w:val="en-US" w:eastAsia="zh-CN"/>
        </w:rPr>
        <w:t>Φ2040，H=2500，3个</w:t>
      </w:r>
      <w:r>
        <w:rPr>
          <w:rFonts w:hint="default" w:ascii="Times New Roman" w:hAnsi="Times New Roman" w:eastAsia="宋体" w:cs="Times New Roman"/>
          <w:snapToGrid w:val="0"/>
          <w:color w:val="auto"/>
          <w:kern w:val="0"/>
          <w:sz w:val="24"/>
          <w:szCs w:val="24"/>
          <w:highlight w:val="none"/>
        </w:rPr>
        <w:t>。</w:t>
      </w:r>
    </w:p>
    <w:p w14:paraId="792D9518">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3)设备材质：</w:t>
      </w:r>
      <w:r>
        <w:rPr>
          <w:rFonts w:hint="eastAsia" w:cs="Times New Roman"/>
          <w:snapToGrid w:val="0"/>
          <w:color w:val="auto"/>
          <w:kern w:val="0"/>
          <w:sz w:val="24"/>
          <w:szCs w:val="24"/>
          <w:highlight w:val="none"/>
          <w:lang w:val="en-US" w:eastAsia="zh-CN"/>
        </w:rPr>
        <w:t>LLDPE</w:t>
      </w:r>
      <w:r>
        <w:rPr>
          <w:rFonts w:hint="default" w:ascii="Times New Roman" w:hAnsi="Times New Roman" w:eastAsia="宋体" w:cs="Times New Roman"/>
          <w:snapToGrid w:val="0"/>
          <w:color w:val="auto"/>
          <w:kern w:val="0"/>
          <w:sz w:val="24"/>
          <w:szCs w:val="24"/>
          <w:highlight w:val="none"/>
          <w:lang w:val="en-US" w:eastAsia="zh-CN"/>
        </w:rPr>
        <w:t>。</w:t>
      </w:r>
    </w:p>
    <w:p w14:paraId="3EF936C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4)</w:t>
      </w:r>
      <w:r>
        <w:rPr>
          <w:rFonts w:hint="default" w:ascii="Times New Roman" w:hAnsi="Times New Roman" w:eastAsia="宋体" w:cs="Times New Roman"/>
          <w:snapToGrid w:val="0"/>
          <w:color w:val="auto"/>
          <w:kern w:val="0"/>
          <w:sz w:val="24"/>
          <w:szCs w:val="24"/>
          <w:highlight w:val="none"/>
        </w:rPr>
        <w:t>设计参数：</w:t>
      </w:r>
    </w:p>
    <w:p w14:paraId="34257F6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①表面有机负荷：</w:t>
      </w:r>
      <w:r>
        <w:rPr>
          <w:rFonts w:hint="eastAsia" w:cs="Times New Roman"/>
          <w:snapToGrid w:val="0"/>
          <w:color w:val="auto"/>
          <w:kern w:val="0"/>
          <w:sz w:val="24"/>
          <w:szCs w:val="24"/>
          <w:highlight w:val="none"/>
          <w:lang w:val="en-US" w:eastAsia="zh-CN"/>
        </w:rPr>
        <w:t>4</w:t>
      </w:r>
      <w:r>
        <w:rPr>
          <w:rFonts w:hint="default" w:ascii="Times New Roman" w:hAnsi="Times New Roman" w:eastAsia="宋体" w:cs="Times New Roman"/>
          <w:snapToGrid w:val="0"/>
          <w:color w:val="auto"/>
          <w:kern w:val="0"/>
          <w:sz w:val="24"/>
          <w:szCs w:val="24"/>
          <w:highlight w:val="none"/>
        </w:rPr>
        <w:t>gBOD/</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2</w:t>
      </w:r>
      <w:r>
        <w:rPr>
          <w:rFonts w:hint="default" w:ascii="Times New Roman" w:hAnsi="Times New Roman" w:eastAsia="宋体" w:cs="Times New Roman"/>
          <w:snapToGrid w:val="0"/>
          <w:color w:val="auto"/>
          <w:kern w:val="0"/>
          <w:sz w:val="24"/>
          <w:szCs w:val="24"/>
          <w:highlight w:val="none"/>
        </w:rPr>
        <w:t>·d</w:t>
      </w:r>
    </w:p>
    <w:p w14:paraId="6B6D5EA3">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②表面硝化负荷：0.</w:t>
      </w:r>
      <w:r>
        <w:rPr>
          <w:rFonts w:hint="eastAsia" w:cs="Times New Roman"/>
          <w:snapToGrid w:val="0"/>
          <w:color w:val="auto"/>
          <w:kern w:val="0"/>
          <w:sz w:val="24"/>
          <w:szCs w:val="24"/>
          <w:highlight w:val="none"/>
          <w:lang w:val="en-US" w:eastAsia="zh-CN"/>
        </w:rPr>
        <w:t>45</w:t>
      </w:r>
      <w:r>
        <w:rPr>
          <w:rFonts w:hint="default" w:ascii="Times New Roman" w:hAnsi="Times New Roman" w:eastAsia="宋体" w:cs="Times New Roman"/>
          <w:snapToGrid w:val="0"/>
          <w:color w:val="auto"/>
          <w:kern w:val="0"/>
          <w:sz w:val="24"/>
          <w:szCs w:val="24"/>
          <w:highlight w:val="none"/>
        </w:rPr>
        <w:t>gNH3-Ng/</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2</w:t>
      </w:r>
      <w:r>
        <w:rPr>
          <w:rFonts w:hint="default" w:ascii="Times New Roman" w:hAnsi="Times New Roman" w:eastAsia="宋体" w:cs="Times New Roman"/>
          <w:snapToGrid w:val="0"/>
          <w:color w:val="auto"/>
          <w:kern w:val="0"/>
          <w:sz w:val="24"/>
          <w:szCs w:val="24"/>
          <w:highlight w:val="none"/>
        </w:rPr>
        <w:t>·d</w:t>
      </w:r>
    </w:p>
    <w:p w14:paraId="207A851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w:t>
      </w:r>
      <w:r>
        <w:rPr>
          <w:rFonts w:hint="eastAsia" w:cs="Times New Roman"/>
          <w:snapToGrid w:val="0"/>
          <w:color w:val="auto"/>
          <w:kern w:val="0"/>
          <w:sz w:val="24"/>
          <w:szCs w:val="24"/>
          <w:highlight w:val="none"/>
          <w:lang w:val="en-US" w:eastAsia="zh-CN"/>
        </w:rPr>
        <w:t>填料填充率</w:t>
      </w:r>
      <w:r>
        <w:rPr>
          <w:rFonts w:hint="default" w:ascii="Times New Roman" w:hAnsi="Times New Roman" w:eastAsia="宋体" w:cs="Times New Roman"/>
          <w:snapToGrid w:val="0"/>
          <w:color w:val="auto"/>
          <w:kern w:val="0"/>
          <w:sz w:val="24"/>
          <w:szCs w:val="24"/>
          <w:highlight w:val="none"/>
          <w:lang w:val="en-US" w:eastAsia="zh-CN"/>
        </w:rPr>
        <w:t>：≥</w:t>
      </w:r>
      <w:r>
        <w:rPr>
          <w:rFonts w:hint="eastAsia" w:cs="Times New Roman"/>
          <w:snapToGrid w:val="0"/>
          <w:color w:val="auto"/>
          <w:kern w:val="0"/>
          <w:sz w:val="24"/>
          <w:szCs w:val="24"/>
          <w:highlight w:val="none"/>
          <w:lang w:val="en-US" w:eastAsia="zh-CN"/>
        </w:rPr>
        <w:t>0.5</w:t>
      </w:r>
    </w:p>
    <w:p w14:paraId="15C7E5B4">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④有效容积：</w:t>
      </w:r>
      <w:r>
        <w:rPr>
          <w:rFonts w:hint="eastAsia" w:cs="Times New Roman"/>
          <w:snapToGrid w:val="0"/>
          <w:color w:val="auto"/>
          <w:kern w:val="0"/>
          <w:sz w:val="24"/>
          <w:szCs w:val="24"/>
          <w:highlight w:val="none"/>
          <w:lang w:val="en-US" w:eastAsia="zh-CN"/>
        </w:rPr>
        <w:t>16.5</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⑤总停留时间：</w:t>
      </w:r>
      <w:r>
        <w:rPr>
          <w:rFonts w:hint="eastAsia" w:cs="Times New Roman"/>
          <w:snapToGrid w:val="0"/>
          <w:color w:val="auto"/>
          <w:kern w:val="0"/>
          <w:sz w:val="24"/>
          <w:szCs w:val="24"/>
          <w:highlight w:val="none"/>
          <w:lang w:val="en-US" w:eastAsia="zh-CN"/>
        </w:rPr>
        <w:t>13.2</w:t>
      </w:r>
      <w:r>
        <w:rPr>
          <w:rFonts w:hint="default" w:ascii="Times New Roman" w:hAnsi="Times New Roman" w:eastAsia="宋体" w:cs="Times New Roman"/>
          <w:snapToGrid w:val="0"/>
          <w:color w:val="auto"/>
          <w:kern w:val="0"/>
          <w:sz w:val="24"/>
          <w:szCs w:val="24"/>
          <w:highlight w:val="none"/>
          <w:lang w:val="en-US" w:eastAsia="zh-CN"/>
        </w:rPr>
        <w:t>h</w:t>
      </w:r>
    </w:p>
    <w:p w14:paraId="05C0628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5)主要设备材料：</w:t>
      </w:r>
    </w:p>
    <w:p w14:paraId="30E6C68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①</w:t>
      </w:r>
      <w:r>
        <w:rPr>
          <w:rFonts w:hint="eastAsia" w:cs="Times New Roman"/>
          <w:snapToGrid w:val="0"/>
          <w:color w:val="auto"/>
          <w:kern w:val="0"/>
          <w:sz w:val="24"/>
          <w:szCs w:val="24"/>
          <w:highlight w:val="none"/>
          <w:lang w:val="en-US" w:eastAsia="zh-CN"/>
        </w:rPr>
        <w:t>悬浮</w:t>
      </w:r>
      <w:r>
        <w:rPr>
          <w:rFonts w:hint="default" w:ascii="Times New Roman" w:hAnsi="Times New Roman" w:eastAsia="宋体" w:cs="Times New Roman"/>
          <w:snapToGrid w:val="0"/>
          <w:color w:val="auto"/>
          <w:kern w:val="0"/>
          <w:sz w:val="24"/>
          <w:szCs w:val="24"/>
          <w:highlight w:val="none"/>
          <w:lang w:val="en-US" w:eastAsia="zh-CN"/>
        </w:rPr>
        <w:t>填料，曝气盘及支架等附件;</w:t>
      </w:r>
    </w:p>
    <w:p w14:paraId="6CA5F0A1">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②</w:t>
      </w:r>
      <w:r>
        <w:rPr>
          <w:rFonts w:hint="default" w:ascii="Times New Roman" w:hAnsi="Times New Roman" w:eastAsia="宋体" w:cs="Times New Roman"/>
          <w:snapToGrid w:val="0"/>
          <w:color w:val="auto"/>
          <w:kern w:val="0"/>
          <w:sz w:val="24"/>
          <w:szCs w:val="24"/>
          <w:highlight w:val="none"/>
        </w:rPr>
        <w:t>风机：风量</w:t>
      </w:r>
      <w:r>
        <w:rPr>
          <w:rFonts w:hint="eastAsia" w:cs="Times New Roman"/>
          <w:snapToGrid w:val="0"/>
          <w:color w:val="auto"/>
          <w:kern w:val="0"/>
          <w:sz w:val="24"/>
          <w:szCs w:val="24"/>
          <w:highlight w:val="none"/>
          <w:lang w:val="en-US" w:eastAsia="zh-CN"/>
        </w:rPr>
        <w:t>60</w:t>
      </w:r>
      <w:r>
        <w:rPr>
          <w:rFonts w:hint="default" w:ascii="Times New Roman" w:hAnsi="Times New Roman" w:eastAsia="宋体" w:cs="Times New Roman"/>
          <w:snapToGrid w:val="0"/>
          <w:color w:val="auto"/>
          <w:kern w:val="0"/>
          <w:sz w:val="24"/>
          <w:szCs w:val="24"/>
          <w:highlight w:val="none"/>
        </w:rPr>
        <w:t>L/min，</w:t>
      </w:r>
      <w:r>
        <w:rPr>
          <w:rFonts w:hint="eastAsia" w:cs="Times New Roman"/>
          <w:snapToGrid w:val="0"/>
          <w:color w:val="auto"/>
          <w:kern w:val="0"/>
          <w:sz w:val="24"/>
          <w:szCs w:val="24"/>
          <w:highlight w:val="none"/>
          <w:lang w:val="en-US" w:eastAsia="zh-CN"/>
        </w:rPr>
        <w:t>20</w:t>
      </w:r>
      <w:r>
        <w:rPr>
          <w:rFonts w:hint="default" w:ascii="Times New Roman" w:hAnsi="Times New Roman" w:eastAsia="宋体" w:cs="Times New Roman"/>
          <w:snapToGrid w:val="0"/>
          <w:color w:val="auto"/>
          <w:kern w:val="0"/>
          <w:sz w:val="24"/>
          <w:szCs w:val="24"/>
          <w:highlight w:val="none"/>
        </w:rPr>
        <w:t>kPa，</w:t>
      </w:r>
      <w:r>
        <w:rPr>
          <w:rFonts w:hint="eastAsia" w:cs="Times New Roman"/>
          <w:snapToGrid w:val="0"/>
          <w:color w:val="auto"/>
          <w:kern w:val="0"/>
          <w:sz w:val="24"/>
          <w:szCs w:val="24"/>
          <w:highlight w:val="none"/>
          <w:lang w:val="en-US" w:eastAsia="zh-CN"/>
        </w:rPr>
        <w:t>45</w:t>
      </w:r>
      <w:r>
        <w:rPr>
          <w:rFonts w:hint="default" w:ascii="Times New Roman" w:hAnsi="Times New Roman" w:eastAsia="宋体" w:cs="Times New Roman"/>
          <w:snapToGrid w:val="0"/>
          <w:color w:val="auto"/>
          <w:kern w:val="0"/>
          <w:sz w:val="24"/>
          <w:szCs w:val="24"/>
          <w:highlight w:val="none"/>
        </w:rPr>
        <w:t>W，</w:t>
      </w:r>
      <w:r>
        <w:rPr>
          <w:rFonts w:hint="eastAsia" w:cs="Times New Roman"/>
          <w:snapToGrid w:val="0"/>
          <w:color w:val="auto"/>
          <w:kern w:val="0"/>
          <w:sz w:val="24"/>
          <w:szCs w:val="24"/>
          <w:highlight w:val="none"/>
          <w:lang w:val="en-US" w:eastAsia="zh-CN"/>
        </w:rPr>
        <w:t>3</w:t>
      </w:r>
      <w:r>
        <w:rPr>
          <w:rFonts w:hint="default" w:ascii="Times New Roman" w:hAnsi="Times New Roman" w:eastAsia="宋体" w:cs="Times New Roman"/>
          <w:snapToGrid w:val="0"/>
          <w:color w:val="auto"/>
          <w:kern w:val="0"/>
          <w:sz w:val="24"/>
          <w:szCs w:val="24"/>
          <w:highlight w:val="none"/>
          <w:lang w:val="en-US" w:eastAsia="zh-CN"/>
        </w:rPr>
        <w:t>台</w:t>
      </w:r>
      <w:r>
        <w:rPr>
          <w:rFonts w:hint="default" w:ascii="Times New Roman" w:hAnsi="Times New Roman" w:eastAsia="宋体" w:cs="Times New Roman"/>
          <w:snapToGrid w:val="0"/>
          <w:color w:val="auto"/>
          <w:kern w:val="0"/>
          <w:sz w:val="24"/>
          <w:szCs w:val="24"/>
          <w:highlight w:val="none"/>
        </w:rPr>
        <w:t>。</w:t>
      </w:r>
    </w:p>
    <w:p w14:paraId="5E116E8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③详细设备参数、技术性能：</w:t>
      </w:r>
    </w:p>
    <w:p w14:paraId="07DE97D8">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安装方式：地埋式；</w:t>
      </w:r>
    </w:p>
    <w:p w14:paraId="5F893623">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eastAsia" w:cs="Times New Roman"/>
          <w:snapToGrid w:val="0"/>
          <w:color w:val="auto"/>
          <w:kern w:val="0"/>
          <w:sz w:val="24"/>
          <w:szCs w:val="24"/>
          <w:highlight w:val="none"/>
          <w:lang w:val="en-US" w:eastAsia="zh-CN"/>
        </w:rPr>
        <w:t>6）</w:t>
      </w:r>
      <w:r>
        <w:rPr>
          <w:rFonts w:hint="default" w:ascii="Times New Roman" w:hAnsi="Times New Roman" w:eastAsia="宋体" w:cs="Times New Roman"/>
          <w:snapToGrid w:val="0"/>
          <w:color w:val="auto"/>
          <w:kern w:val="0"/>
          <w:sz w:val="24"/>
          <w:szCs w:val="24"/>
          <w:highlight w:val="none"/>
          <w:lang w:val="en-US" w:eastAsia="zh-CN"/>
        </w:rPr>
        <w:t>出水水质主要指标达到广西壮族自治区《农村生活污水处理设施水污染物排放标准》（DB45/2413-2021）中的</w:t>
      </w:r>
      <w:r>
        <w:rPr>
          <w:rFonts w:hint="eastAsia" w:cs="Times New Roman"/>
          <w:snapToGrid w:val="0"/>
          <w:color w:val="auto"/>
          <w:kern w:val="0"/>
          <w:sz w:val="24"/>
          <w:szCs w:val="24"/>
          <w:highlight w:val="none"/>
          <w:lang w:val="en-US" w:eastAsia="zh-CN"/>
        </w:rPr>
        <w:t>二</w:t>
      </w:r>
      <w:r>
        <w:rPr>
          <w:rFonts w:hint="default" w:ascii="Times New Roman" w:hAnsi="Times New Roman" w:eastAsia="宋体" w:cs="Times New Roman"/>
          <w:snapToGrid w:val="0"/>
          <w:color w:val="auto"/>
          <w:kern w:val="0"/>
          <w:sz w:val="24"/>
          <w:szCs w:val="24"/>
          <w:highlight w:val="none"/>
          <w:lang w:val="en-US" w:eastAsia="zh-CN"/>
        </w:rPr>
        <w:t>级标准。</w:t>
      </w:r>
    </w:p>
    <w:p w14:paraId="07B1A3EC">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t>（3）回用水池</w:t>
      </w:r>
    </w:p>
    <w:p w14:paraId="11C7F425">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highlight w:val="none"/>
        </w:rPr>
        <w:t>设计功能：</w:t>
      </w:r>
      <w:r>
        <w:rPr>
          <w:rFonts w:hint="default" w:ascii="Times New Roman" w:hAnsi="Times New Roman" w:eastAsia="宋体" w:cs="Times New Roman"/>
          <w:snapToGrid w:val="0"/>
          <w:color w:val="auto"/>
          <w:kern w:val="0"/>
          <w:sz w:val="24"/>
          <w:szCs w:val="24"/>
          <w:highlight w:val="none"/>
          <w:lang w:val="en-US" w:eastAsia="zh-CN"/>
        </w:rPr>
        <w:t>暂存清水供回用</w:t>
      </w:r>
      <w:r>
        <w:rPr>
          <w:rFonts w:hint="default" w:ascii="Times New Roman" w:hAnsi="Times New Roman" w:eastAsia="宋体" w:cs="Times New Roman"/>
          <w:snapToGrid w:val="0"/>
          <w:color w:val="auto"/>
          <w:kern w:val="0"/>
          <w:sz w:val="24"/>
          <w:szCs w:val="24"/>
          <w:highlight w:val="none"/>
        </w:rPr>
        <w:t>和出</w:t>
      </w:r>
      <w:r>
        <w:rPr>
          <w:rFonts w:hint="default" w:ascii="Times New Roman" w:hAnsi="Times New Roman" w:eastAsia="宋体" w:cs="Times New Roman"/>
          <w:snapToGrid w:val="0"/>
          <w:color w:val="auto"/>
          <w:kern w:val="0"/>
          <w:sz w:val="24"/>
          <w:szCs w:val="24"/>
        </w:rPr>
        <w:t>水计量。</w:t>
      </w:r>
    </w:p>
    <w:p w14:paraId="2F0FC5C0">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rPr>
        <w:t>设计</w:t>
      </w:r>
      <w:r>
        <w:rPr>
          <w:rFonts w:hint="default" w:ascii="Times New Roman" w:hAnsi="Times New Roman" w:eastAsia="宋体" w:cs="Times New Roman"/>
          <w:snapToGrid w:val="0"/>
          <w:color w:val="auto"/>
          <w:kern w:val="0"/>
          <w:sz w:val="24"/>
          <w:szCs w:val="24"/>
          <w:lang w:val="en-US" w:eastAsia="zh-CN"/>
        </w:rPr>
        <w:t>规模</w:t>
      </w:r>
      <w:r>
        <w:rPr>
          <w:rFonts w:hint="default" w:ascii="Times New Roman" w:hAnsi="Times New Roman" w:eastAsia="宋体" w:cs="Times New Roman"/>
          <w:snapToGrid w:val="0"/>
          <w:color w:val="auto"/>
          <w:kern w:val="0"/>
          <w:sz w:val="24"/>
          <w:szCs w:val="24"/>
        </w:rPr>
        <w:t>：Q=</w:t>
      </w:r>
      <w:r>
        <w:rPr>
          <w:rFonts w:hint="eastAsia"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lang w:val="en-US" w:eastAsia="zh-CN"/>
        </w:rPr>
        <w:t>0</w:t>
      </w:r>
      <w:r>
        <w:rPr>
          <w:rFonts w:hint="default" w:ascii="Times New Roman" w:hAnsi="Times New Roman" w:eastAsia="宋体" w:cs="Times New Roman"/>
          <w:snapToGrid w:val="0"/>
          <w:color w:val="auto"/>
          <w:kern w:val="0"/>
          <w:sz w:val="24"/>
          <w:szCs w:val="24"/>
        </w:rPr>
        <w:t>m</w:t>
      </w:r>
      <w:r>
        <w:rPr>
          <w:rFonts w:hint="default" w:ascii="Times New Roman" w:hAnsi="Times New Roman" w:eastAsia="宋体" w:cs="Times New Roman"/>
          <w:snapToGrid w:val="0"/>
          <w:color w:val="auto"/>
          <w:kern w:val="0"/>
          <w:sz w:val="24"/>
          <w:szCs w:val="24"/>
          <w:vertAlign w:val="superscript"/>
        </w:rPr>
        <w:t>3</w:t>
      </w:r>
      <w:r>
        <w:rPr>
          <w:rFonts w:hint="default" w:ascii="Times New Roman" w:hAnsi="Times New Roman" w:eastAsia="宋体" w:cs="Times New Roman"/>
          <w:snapToGrid w:val="0"/>
          <w:color w:val="auto"/>
          <w:kern w:val="0"/>
          <w:sz w:val="24"/>
          <w:szCs w:val="24"/>
        </w:rPr>
        <w:t>/</w:t>
      </w:r>
      <w:r>
        <w:rPr>
          <w:rFonts w:hint="default" w:ascii="Times New Roman" w:hAnsi="Times New Roman" w:eastAsia="宋体" w:cs="Times New Roman"/>
          <w:snapToGrid w:val="0"/>
          <w:color w:val="auto"/>
          <w:kern w:val="0"/>
          <w:sz w:val="24"/>
          <w:szCs w:val="24"/>
          <w:lang w:val="en-US" w:eastAsia="zh-CN"/>
        </w:rPr>
        <w:t>d</w:t>
      </w:r>
      <w:r>
        <w:rPr>
          <w:rFonts w:hint="default" w:ascii="Times New Roman" w:hAnsi="Times New Roman" w:eastAsia="宋体" w:cs="Times New Roman"/>
          <w:snapToGrid w:val="0"/>
          <w:color w:val="auto"/>
          <w:kern w:val="0"/>
          <w:sz w:val="24"/>
          <w:szCs w:val="24"/>
        </w:rPr>
        <w:t>。</w:t>
      </w:r>
    </w:p>
    <w:p w14:paraId="5859A326">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eastAsia" w:cs="Times New Roman"/>
          <w:snapToGrid w:val="0"/>
          <w:color w:val="auto"/>
          <w:kern w:val="0"/>
          <w:sz w:val="24"/>
          <w:szCs w:val="24"/>
          <w:lang w:val="en-US" w:eastAsia="zh-CN"/>
        </w:rPr>
        <w:t>回用水池</w:t>
      </w:r>
      <w:r>
        <w:rPr>
          <w:rFonts w:hint="default" w:ascii="Times New Roman" w:hAnsi="Times New Roman" w:eastAsia="宋体" w:cs="Times New Roman"/>
          <w:snapToGrid w:val="0"/>
          <w:color w:val="auto"/>
          <w:kern w:val="0"/>
          <w:sz w:val="24"/>
          <w:szCs w:val="24"/>
          <w:lang w:val="en-US" w:eastAsia="zh-CN"/>
        </w:rPr>
        <w:t>容积：</w:t>
      </w:r>
      <w:r>
        <w:rPr>
          <w:rFonts w:hint="eastAsia" w:cs="Times New Roman"/>
          <w:snapToGrid w:val="0"/>
          <w:color w:val="auto"/>
          <w:kern w:val="0"/>
          <w:sz w:val="24"/>
          <w:szCs w:val="24"/>
          <w:lang w:val="en-US" w:eastAsia="zh-CN"/>
        </w:rPr>
        <w:t>1.6</w:t>
      </w:r>
      <w:r>
        <w:rPr>
          <w:rFonts w:hint="default" w:ascii="Times New Roman" w:hAnsi="Times New Roman" w:eastAsia="宋体" w:cs="Times New Roman"/>
          <w:snapToGrid w:val="0"/>
          <w:color w:val="auto"/>
          <w:kern w:val="0"/>
          <w:sz w:val="24"/>
          <w:szCs w:val="24"/>
          <w:lang w:val="en-US" w:eastAsia="zh-CN"/>
        </w:rPr>
        <w:t>m</w:t>
      </w:r>
      <w:r>
        <w:rPr>
          <w:rFonts w:hint="default" w:ascii="Times New Roman" w:hAnsi="Times New Roman" w:eastAsia="宋体" w:cs="Times New Roman"/>
          <w:snapToGrid w:val="0"/>
          <w:color w:val="auto"/>
          <w:kern w:val="0"/>
          <w:sz w:val="24"/>
          <w:szCs w:val="24"/>
          <w:vertAlign w:val="superscript"/>
          <w:lang w:val="en-US" w:eastAsia="zh-CN"/>
        </w:rPr>
        <w:t>3</w:t>
      </w:r>
      <w:r>
        <w:rPr>
          <w:rFonts w:hint="default" w:ascii="Times New Roman" w:hAnsi="Times New Roman" w:eastAsia="宋体" w:cs="Times New Roman"/>
          <w:snapToGrid w:val="0"/>
          <w:color w:val="auto"/>
          <w:kern w:val="0"/>
          <w:sz w:val="24"/>
          <w:szCs w:val="24"/>
          <w:lang w:val="en-US" w:eastAsia="zh-CN"/>
        </w:rPr>
        <w:t>。</w:t>
      </w:r>
    </w:p>
    <w:p w14:paraId="6421A81D">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rPr>
        <w:t>主要设备：</w:t>
      </w:r>
    </w:p>
    <w:p w14:paraId="2DA43805">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①潜污泵，</w:t>
      </w:r>
      <w:r>
        <w:rPr>
          <w:rFonts w:hint="eastAsia"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lang w:val="en-US" w:eastAsia="zh-CN"/>
        </w:rPr>
        <w:t>台，流量</w:t>
      </w:r>
      <w:r>
        <w:rPr>
          <w:rFonts w:hint="eastAsia" w:cs="Times New Roman"/>
          <w:snapToGrid w:val="0"/>
          <w:color w:val="auto"/>
          <w:kern w:val="0"/>
          <w:sz w:val="24"/>
          <w:szCs w:val="24"/>
          <w:lang w:val="en-US" w:eastAsia="zh-CN"/>
        </w:rPr>
        <w:t>1.5</w:t>
      </w:r>
      <w:r>
        <w:rPr>
          <w:rFonts w:hint="default" w:ascii="Times New Roman" w:hAnsi="Times New Roman" w:eastAsia="宋体" w:cs="Times New Roman"/>
          <w:snapToGrid w:val="0"/>
          <w:color w:val="auto"/>
          <w:kern w:val="0"/>
          <w:sz w:val="24"/>
          <w:szCs w:val="24"/>
          <w:lang w:val="en-US" w:eastAsia="zh-CN"/>
        </w:rPr>
        <w:t>m</w:t>
      </w:r>
      <w:r>
        <w:rPr>
          <w:rFonts w:hint="default" w:ascii="Times New Roman" w:hAnsi="Times New Roman" w:eastAsia="宋体" w:cs="Times New Roman"/>
          <w:snapToGrid w:val="0"/>
          <w:color w:val="auto"/>
          <w:kern w:val="0"/>
          <w:sz w:val="24"/>
          <w:szCs w:val="24"/>
          <w:vertAlign w:val="superscript"/>
          <w:lang w:val="en-US" w:eastAsia="zh-CN"/>
        </w:rPr>
        <w:t>3</w:t>
      </w:r>
      <w:r>
        <w:rPr>
          <w:rFonts w:hint="default" w:ascii="Times New Roman" w:hAnsi="Times New Roman" w:eastAsia="宋体" w:cs="Times New Roman"/>
          <w:snapToGrid w:val="0"/>
          <w:color w:val="auto"/>
          <w:kern w:val="0"/>
          <w:sz w:val="24"/>
          <w:szCs w:val="24"/>
          <w:lang w:val="en-US" w:eastAsia="zh-CN"/>
        </w:rPr>
        <w:t>/h，扬程</w:t>
      </w:r>
      <w:r>
        <w:rPr>
          <w:rFonts w:hint="eastAsia" w:cs="Times New Roman"/>
          <w:snapToGrid w:val="0"/>
          <w:color w:val="auto"/>
          <w:kern w:val="0"/>
          <w:sz w:val="24"/>
          <w:szCs w:val="24"/>
          <w:lang w:val="en-US" w:eastAsia="zh-CN"/>
        </w:rPr>
        <w:t>12</w:t>
      </w:r>
      <w:r>
        <w:rPr>
          <w:rFonts w:hint="default" w:ascii="Times New Roman" w:hAnsi="Times New Roman" w:eastAsia="宋体" w:cs="Times New Roman"/>
          <w:snapToGrid w:val="0"/>
          <w:color w:val="auto"/>
          <w:kern w:val="0"/>
          <w:sz w:val="24"/>
          <w:szCs w:val="24"/>
          <w:lang w:val="en-US" w:eastAsia="zh-CN"/>
        </w:rPr>
        <w:t>m，功率</w:t>
      </w:r>
      <w:r>
        <w:rPr>
          <w:rFonts w:hint="eastAsia" w:cs="Times New Roman"/>
          <w:snapToGrid w:val="0"/>
          <w:color w:val="auto"/>
          <w:kern w:val="0"/>
          <w:sz w:val="24"/>
          <w:szCs w:val="24"/>
          <w:lang w:val="en-US" w:eastAsia="zh-CN"/>
        </w:rPr>
        <w:t>250</w:t>
      </w:r>
      <w:r>
        <w:rPr>
          <w:rFonts w:hint="default" w:ascii="Times New Roman" w:hAnsi="Times New Roman" w:eastAsia="宋体" w:cs="Times New Roman"/>
          <w:snapToGrid w:val="0"/>
          <w:color w:val="auto"/>
          <w:kern w:val="0"/>
          <w:sz w:val="24"/>
          <w:szCs w:val="24"/>
          <w:lang w:val="en-US" w:eastAsia="zh-CN"/>
        </w:rPr>
        <w:t>W。</w:t>
      </w:r>
    </w:p>
    <w:p w14:paraId="55BACE25">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②浮球液位计0~5m，4~20mA。</w:t>
      </w:r>
    </w:p>
    <w:p w14:paraId="2FB17565">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③电磁流量计，DN25,PN1.6MPa。</w:t>
      </w:r>
    </w:p>
    <w:p w14:paraId="75F0FC4F">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t>（4）其他</w:t>
      </w:r>
    </w:p>
    <w:p w14:paraId="5C4591ED">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配电箱、控制柜、阀门阀件、管道等附件。</w:t>
      </w:r>
    </w:p>
    <w:p w14:paraId="463A9DC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尺寸1</w:t>
      </w:r>
      <w:r>
        <w:rPr>
          <w:rFonts w:hint="eastAsia" w:cs="Times New Roman"/>
          <w:snapToGrid w:val="0"/>
          <w:color w:val="auto"/>
          <w:kern w:val="0"/>
          <w:sz w:val="24"/>
          <w:szCs w:val="24"/>
          <w:highlight w:val="none"/>
          <w:lang w:val="en-US" w:eastAsia="zh-CN"/>
        </w:rPr>
        <w:t>75</w:t>
      </w:r>
      <w:r>
        <w:rPr>
          <w:rFonts w:hint="default" w:ascii="Times New Roman" w:hAnsi="Times New Roman" w:eastAsia="宋体" w:cs="Times New Roman"/>
          <w:snapToGrid w:val="0"/>
          <w:color w:val="auto"/>
          <w:kern w:val="0"/>
          <w:sz w:val="24"/>
          <w:szCs w:val="24"/>
          <w:highlight w:val="none"/>
          <w:lang w:val="en-US" w:eastAsia="zh-CN"/>
        </w:rPr>
        <w:t>0×</w:t>
      </w:r>
      <w:r>
        <w:rPr>
          <w:rFonts w:hint="eastAsia" w:cs="Times New Roman"/>
          <w:snapToGrid w:val="0"/>
          <w:color w:val="auto"/>
          <w:kern w:val="0"/>
          <w:sz w:val="24"/>
          <w:szCs w:val="24"/>
          <w:highlight w:val="none"/>
          <w:lang w:val="en-US" w:eastAsia="zh-CN"/>
        </w:rPr>
        <w:t>7</w:t>
      </w:r>
      <w:r>
        <w:rPr>
          <w:rFonts w:hint="default" w:ascii="Times New Roman" w:hAnsi="Times New Roman" w:eastAsia="宋体" w:cs="Times New Roman"/>
          <w:snapToGrid w:val="0"/>
          <w:color w:val="auto"/>
          <w:kern w:val="0"/>
          <w:sz w:val="24"/>
          <w:szCs w:val="24"/>
          <w:highlight w:val="none"/>
          <w:lang w:val="en-US" w:eastAsia="zh-CN"/>
        </w:rPr>
        <w:t>00×</w:t>
      </w:r>
      <w:r>
        <w:rPr>
          <w:rFonts w:hint="eastAsia" w:cs="Times New Roman"/>
          <w:snapToGrid w:val="0"/>
          <w:color w:val="auto"/>
          <w:kern w:val="0"/>
          <w:sz w:val="24"/>
          <w:szCs w:val="24"/>
          <w:highlight w:val="none"/>
          <w:lang w:val="en-US" w:eastAsia="zh-CN"/>
        </w:rPr>
        <w:t>6</w:t>
      </w:r>
      <w:r>
        <w:rPr>
          <w:rFonts w:hint="default" w:ascii="Times New Roman" w:hAnsi="Times New Roman" w:eastAsia="宋体" w:cs="Times New Roman"/>
          <w:snapToGrid w:val="0"/>
          <w:color w:val="auto"/>
          <w:kern w:val="0"/>
          <w:sz w:val="24"/>
          <w:szCs w:val="24"/>
          <w:highlight w:val="none"/>
          <w:lang w:val="en-US" w:eastAsia="zh-CN"/>
        </w:rPr>
        <w:t>00mm，误差控制在±2%以内；</w:t>
      </w:r>
    </w:p>
    <w:p w14:paraId="2FD0F28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主要功能：</w:t>
      </w:r>
    </w:p>
    <w:p w14:paraId="53763EC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1）可远程上传数据，配合污水智能巡维系统实现远程控制功能；</w:t>
      </w:r>
    </w:p>
    <w:p w14:paraId="7F2F872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电柜内可同时放置多台曝气风机。</w:t>
      </w:r>
    </w:p>
    <w:p w14:paraId="747D0723">
      <w:pPr>
        <w:spacing w:line="360" w:lineRule="auto"/>
        <w:ind w:firstLine="482" w:firstLineChars="200"/>
        <w:jc w:val="left"/>
        <w:rPr>
          <w:rFonts w:hint="eastAsia" w:ascii="Times New Roman" w:hAnsi="Times New Roman" w:eastAsia="宋体" w:cs="Times New Roman"/>
          <w:b/>
          <w:bCs/>
          <w:snapToGrid w:val="0"/>
          <w:color w:val="auto"/>
          <w:kern w:val="0"/>
          <w:sz w:val="24"/>
          <w:szCs w:val="24"/>
          <w:highlight w:val="none"/>
          <w:lang w:val="en-US" w:eastAsia="zh-CN"/>
        </w:rPr>
      </w:pPr>
      <w:r>
        <w:rPr>
          <w:rFonts w:hint="eastAsia" w:cs="Times New Roman"/>
          <w:b/>
          <w:bCs/>
          <w:snapToGrid w:val="0"/>
          <w:color w:val="auto"/>
          <w:kern w:val="0"/>
          <w:sz w:val="24"/>
          <w:szCs w:val="24"/>
          <w:highlight w:val="none"/>
          <w:lang w:val="en-US" w:eastAsia="zh-CN"/>
        </w:rPr>
        <w:t>（5）</w:t>
      </w:r>
      <w:r>
        <w:rPr>
          <w:rFonts w:hint="eastAsia" w:ascii="Times New Roman" w:hAnsi="Times New Roman" w:eastAsia="宋体" w:cs="Times New Roman"/>
          <w:b/>
          <w:bCs/>
          <w:snapToGrid w:val="0"/>
          <w:color w:val="auto"/>
          <w:kern w:val="0"/>
          <w:sz w:val="24"/>
          <w:szCs w:val="24"/>
          <w:highlight w:val="none"/>
          <w:lang w:val="en-US" w:eastAsia="zh-CN"/>
        </w:rPr>
        <w:t>资源化利用设施</w:t>
      </w:r>
    </w:p>
    <w:p w14:paraId="0329C740">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资源化利用设施</w:t>
      </w:r>
      <w:r>
        <w:rPr>
          <w:rFonts w:hint="default" w:ascii="Times New Roman" w:hAnsi="Times New Roman" w:eastAsia="宋体" w:cs="Times New Roman"/>
          <w:color w:val="auto"/>
          <w:sz w:val="24"/>
          <w:szCs w:val="24"/>
          <w:lang w:val="en-US" w:eastAsia="zh-CN"/>
        </w:rPr>
        <w:t>采用厌氧+自然渗透法</w:t>
      </w:r>
      <w:r>
        <w:rPr>
          <w:rFonts w:hint="eastAsia" w:cs="Times New Roman"/>
          <w:color w:val="auto"/>
          <w:sz w:val="24"/>
          <w:szCs w:val="24"/>
          <w:lang w:val="en-US" w:eastAsia="zh-CN"/>
        </w:rPr>
        <w:t>，处理水量小于5</w:t>
      </w:r>
      <w:r>
        <w:rPr>
          <w:rFonts w:hint="default" w:ascii="Times New Roman" w:hAnsi="Times New Roman" w:eastAsia="宋体" w:cs="Times New Roman"/>
          <w:snapToGrid w:val="0"/>
          <w:color w:val="auto"/>
          <w:kern w:val="0"/>
          <w:sz w:val="24"/>
          <w:szCs w:val="24"/>
          <w:highlight w:val="none"/>
          <w:lang w:val="en-US" w:eastAsia="zh-CN"/>
        </w:rPr>
        <w:t>m³/d</w:t>
      </w:r>
      <w:r>
        <w:rPr>
          <w:rFonts w:hint="eastAsia" w:cs="Times New Roman"/>
          <w:snapToGrid w:val="0"/>
          <w:color w:val="auto"/>
          <w:kern w:val="0"/>
          <w:sz w:val="24"/>
          <w:szCs w:val="24"/>
          <w:highlight w:val="none"/>
          <w:lang w:val="en-US" w:eastAsia="zh-CN"/>
        </w:rPr>
        <w:t>，预处理设施采用内置弹性立体填料的一体化玻璃钢化粪池，出水经过自然渗透及植物根系的吸收，出水达到《农田灌溉水质标准》(GB 5084-2021)中的旱地作物水质标准，出水作为附近的桑树田灌溉用水。</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5、工艺</w:t>
      </w:r>
      <w:r>
        <w:rPr>
          <w:rFonts w:hint="default" w:ascii="Times New Roman" w:hAnsi="Times New Roman" w:eastAsia="宋体" w:cs="Times New Roman"/>
          <w:b/>
          <w:bCs/>
          <w:color w:val="auto"/>
          <w:sz w:val="24"/>
          <w:szCs w:val="24"/>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管材与接口：本工程</w:t>
      </w:r>
      <w:r>
        <w:rPr>
          <w:rFonts w:hint="default" w:ascii="Times New Roman" w:hAnsi="Times New Roman" w:eastAsia="宋体" w:cs="Times New Roman"/>
          <w:color w:val="auto"/>
          <w:sz w:val="24"/>
          <w:szCs w:val="24"/>
          <w:lang w:val="en-US" w:eastAsia="zh-CN"/>
        </w:rPr>
        <w:t>工艺管道采用压力性PVC给水管，厂家配套的管件连接</w:t>
      </w:r>
      <w:r>
        <w:rPr>
          <w:rFonts w:hint="default" w:ascii="Times New Roman" w:hAnsi="Times New Roman" w:eastAsia="宋体" w:cs="Times New Roman"/>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管道基础</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一般采用大开挖埋设</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参见管道沟槽开挖与回填大样图</w:t>
      </w:r>
      <w:r>
        <w:rPr>
          <w:rFonts w:hint="default" w:ascii="Times New Roman" w:hAnsi="Times New Roman" w:eastAsia="宋体" w:cs="Times New Roman"/>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管道防腐</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6、</w:t>
      </w:r>
      <w:r>
        <w:rPr>
          <w:rFonts w:hint="default" w:ascii="Times New Roman" w:hAnsi="Times New Roman" w:eastAsia="宋体" w:cs="Times New Roman"/>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7、</w:t>
      </w:r>
      <w:r>
        <w:rPr>
          <w:rFonts w:hint="default" w:ascii="Times New Roman" w:hAnsi="Times New Roman" w:eastAsia="宋体" w:cs="Times New Roman"/>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考虑到格栅渠、</w:t>
      </w:r>
      <w:r>
        <w:rPr>
          <w:rFonts w:hint="default" w:ascii="Times New Roman" w:hAnsi="Times New Roman" w:eastAsia="宋体" w:cs="Times New Roman"/>
          <w:color w:val="auto"/>
          <w:sz w:val="24"/>
          <w:szCs w:val="24"/>
          <w:lang w:val="en-US" w:eastAsia="zh-CN"/>
        </w:rPr>
        <w:t>提升井</w:t>
      </w:r>
      <w:r>
        <w:rPr>
          <w:rFonts w:hint="default" w:ascii="Times New Roman" w:hAnsi="Times New Roman" w:eastAsia="宋体" w:cs="Times New Roman"/>
          <w:color w:val="auto"/>
          <w:sz w:val="24"/>
          <w:szCs w:val="24"/>
        </w:rPr>
        <w:t>的操作条件和确保操作人员安全，</w:t>
      </w:r>
      <w:r>
        <w:rPr>
          <w:rFonts w:hint="default" w:ascii="Times New Roman" w:hAnsi="Times New Roman" w:eastAsia="宋体" w:cs="Times New Roman"/>
          <w:color w:val="auto"/>
          <w:sz w:val="24"/>
          <w:szCs w:val="24"/>
          <w:lang w:val="en-US" w:eastAsia="zh-CN"/>
        </w:rPr>
        <w:t>在下井检修时应采用</w:t>
      </w:r>
      <w:r>
        <w:rPr>
          <w:rFonts w:hint="default" w:ascii="Times New Roman" w:hAnsi="Times New Roman" w:eastAsia="宋体" w:cs="Times New Roman"/>
          <w:color w:val="auto"/>
          <w:sz w:val="24"/>
          <w:szCs w:val="24"/>
        </w:rPr>
        <w:t>移动式</w:t>
      </w:r>
      <w:r>
        <w:rPr>
          <w:rFonts w:hint="default" w:ascii="Times New Roman" w:hAnsi="Times New Roman" w:eastAsia="宋体" w:cs="Times New Roman"/>
          <w:color w:val="auto"/>
          <w:sz w:val="24"/>
          <w:szCs w:val="24"/>
          <w:lang w:val="en-US" w:eastAsia="zh-CN"/>
        </w:rPr>
        <w:t>通风</w:t>
      </w:r>
      <w:r>
        <w:rPr>
          <w:rFonts w:hint="default" w:ascii="Times New Roman" w:hAnsi="Times New Roman" w:eastAsia="宋体" w:cs="Times New Roman"/>
          <w:color w:val="auto"/>
          <w:sz w:val="24"/>
          <w:szCs w:val="24"/>
        </w:rPr>
        <w:t>设备</w:t>
      </w:r>
      <w:r>
        <w:rPr>
          <w:rFonts w:hint="default" w:ascii="Times New Roman" w:hAnsi="Times New Roman" w:eastAsia="宋体" w:cs="Times New Roman"/>
          <w:color w:val="auto"/>
          <w:sz w:val="24"/>
          <w:szCs w:val="24"/>
          <w:lang w:val="en-US" w:eastAsia="zh-CN"/>
        </w:rPr>
        <w:t>并携带</w:t>
      </w:r>
      <w:r>
        <w:rPr>
          <w:rFonts w:hint="default" w:ascii="Times New Roman" w:hAnsi="Times New Roman" w:eastAsia="宋体" w:cs="Times New Roman"/>
          <w:color w:val="auto"/>
          <w:sz w:val="24"/>
          <w:szCs w:val="24"/>
        </w:rPr>
        <w:t>便携式有害气体检测和报警装置，</w:t>
      </w:r>
      <w:r>
        <w:rPr>
          <w:rFonts w:hint="default" w:ascii="Times New Roman" w:hAnsi="Times New Roman" w:eastAsia="宋体" w:cs="Times New Roman"/>
          <w:color w:val="auto"/>
          <w:sz w:val="24"/>
          <w:szCs w:val="24"/>
          <w:lang w:val="en-US" w:eastAsia="zh-CN"/>
        </w:rPr>
        <w:t>确保安全的前提下下井操作</w:t>
      </w:r>
      <w:r>
        <w:rPr>
          <w:rFonts w:hint="default" w:ascii="Times New Roman" w:hAnsi="Times New Roman" w:eastAsia="宋体" w:cs="Times New Roman"/>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二</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电气</w:t>
      </w:r>
      <w:r>
        <w:rPr>
          <w:rFonts w:hint="default" w:ascii="Times New Roman" w:hAnsi="Times New Roman" w:eastAsia="宋体" w:cs="Times New Roman"/>
          <w:color w:val="auto"/>
          <w:sz w:val="24"/>
          <w:szCs w:val="24"/>
          <w:lang w:val="en-US" w:eastAsia="zh-CN"/>
        </w:rPr>
        <w:t>设计</w:t>
      </w:r>
    </w:p>
    <w:p w14:paraId="7944324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负荷计算</w:t>
      </w:r>
    </w:p>
    <w:p w14:paraId="08A41B35">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根据《小城镇污水处理建设标准》，负荷等级均为三级负荷。负荷计算表详见下表：</w:t>
      </w:r>
    </w:p>
    <w:p w14:paraId="5083F129">
      <w:pPr>
        <w:pStyle w:val="71"/>
        <w:snapToGrid/>
        <w:ind w:firstLine="0" w:firstLineChars="0"/>
        <w:jc w:val="center"/>
        <w:rPr>
          <w:rFonts w:hint="default" w:ascii="Times New Roman" w:hAnsi="Times New Roman" w:eastAsia="宋体" w:cs="Times New Roman"/>
          <w:b/>
          <w:bCs/>
          <w:snapToGrid w:val="0"/>
          <w:color w:val="auto"/>
          <w:kern w:val="0"/>
        </w:rPr>
      </w:pPr>
      <w:r>
        <w:rPr>
          <w:rFonts w:hint="default" w:ascii="Times New Roman" w:hAnsi="Times New Roman" w:eastAsia="宋体" w:cs="Times New Roman"/>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394EB9E4">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序号</w:t>
            </w:r>
          </w:p>
        </w:tc>
        <w:tc>
          <w:tcPr>
            <w:tcW w:w="2000" w:type="pct"/>
          </w:tcPr>
          <w:p w14:paraId="5DEDF99D">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污水处理站规模</w:t>
            </w:r>
          </w:p>
        </w:tc>
        <w:tc>
          <w:tcPr>
            <w:tcW w:w="2279" w:type="pct"/>
          </w:tcPr>
          <w:p w14:paraId="1727CBFE">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default" w:ascii="Times New Roman" w:hAnsi="Times New Roman" w:eastAsia="宋体" w:cs="Times New Roman"/>
                <w:snapToGrid w:val="0"/>
                <w:color w:val="auto"/>
                <w:kern w:val="0"/>
                <w:lang w:eastAsia="zh-CN"/>
              </w:rPr>
            </w:pPr>
            <w:r>
              <w:rPr>
                <w:rFonts w:hint="default" w:ascii="Times New Roman" w:hAnsi="Times New Roman" w:eastAsia="宋体" w:cs="Times New Roman"/>
                <w:snapToGrid w:val="0"/>
                <w:color w:val="auto"/>
                <w:kern w:val="0"/>
                <w:lang w:val="en-US" w:eastAsia="zh-CN"/>
              </w:rPr>
              <w:t>1</w:t>
            </w:r>
          </w:p>
        </w:tc>
        <w:tc>
          <w:tcPr>
            <w:tcW w:w="2000" w:type="pct"/>
          </w:tcPr>
          <w:p w14:paraId="38E11FF6">
            <w:pPr>
              <w:pStyle w:val="71"/>
              <w:snapToGrid/>
              <w:ind w:firstLine="0" w:firstLineChars="0"/>
              <w:jc w:val="center"/>
              <w:rPr>
                <w:rFonts w:hint="default" w:ascii="Times New Roman" w:hAnsi="Times New Roman" w:eastAsia="宋体" w:cs="Times New Roman"/>
                <w:snapToGrid w:val="0"/>
                <w:color w:val="auto"/>
                <w:kern w:val="0"/>
              </w:rPr>
            </w:pPr>
            <w:r>
              <w:rPr>
                <w:rFonts w:hint="eastAsia" w:cs="Times New Roman"/>
                <w:snapToGrid w:val="0"/>
                <w:color w:val="auto"/>
                <w:kern w:val="0"/>
                <w:lang w:val="en-US" w:eastAsia="zh-CN"/>
              </w:rPr>
              <w:t>3</w:t>
            </w:r>
            <w:r>
              <w:rPr>
                <w:rFonts w:hint="default" w:ascii="Times New Roman" w:hAnsi="Times New Roman" w:eastAsia="宋体" w:cs="Times New Roman"/>
                <w:snapToGrid w:val="0"/>
                <w:color w:val="auto"/>
                <w:kern w:val="0"/>
                <w:lang w:val="en-US" w:eastAsia="zh-CN"/>
              </w:rPr>
              <w:t>0</w:t>
            </w:r>
            <w:r>
              <w:rPr>
                <w:rFonts w:hint="default" w:ascii="Times New Roman" w:hAnsi="Times New Roman" w:eastAsia="宋体" w:cs="Times New Roman"/>
                <w:snapToGrid w:val="0"/>
                <w:color w:val="auto"/>
                <w:kern w:val="0"/>
              </w:rPr>
              <w:t>m</w:t>
            </w:r>
            <w:r>
              <w:rPr>
                <w:rFonts w:hint="default" w:ascii="Times New Roman" w:hAnsi="Times New Roman" w:eastAsia="宋体" w:cs="Times New Roman"/>
                <w:snapToGrid w:val="0"/>
                <w:color w:val="auto"/>
                <w:kern w:val="0"/>
                <w:vertAlign w:val="superscript"/>
              </w:rPr>
              <w:t>3</w:t>
            </w:r>
          </w:p>
        </w:tc>
        <w:tc>
          <w:tcPr>
            <w:tcW w:w="2279" w:type="pct"/>
          </w:tcPr>
          <w:p w14:paraId="18AFBF19">
            <w:pPr>
              <w:pStyle w:val="71"/>
              <w:snapToGrid/>
              <w:ind w:firstLine="0" w:firstLineChars="0"/>
              <w:jc w:val="center"/>
              <w:rPr>
                <w:rFonts w:hint="default" w:ascii="Times New Roman" w:hAnsi="Times New Roman" w:eastAsia="宋体" w:cs="Times New Roman"/>
                <w:snapToGrid w:val="0"/>
                <w:color w:val="auto"/>
                <w:kern w:val="0"/>
              </w:rPr>
            </w:pPr>
            <w:r>
              <w:rPr>
                <w:rFonts w:hint="eastAsia" w:cs="Times New Roman"/>
                <w:snapToGrid w:val="0"/>
                <w:color w:val="auto"/>
                <w:kern w:val="0"/>
                <w:lang w:val="en-US" w:eastAsia="zh-CN"/>
              </w:rPr>
              <w:t>0.75</w:t>
            </w:r>
            <w:r>
              <w:rPr>
                <w:rFonts w:hint="default" w:ascii="Times New Roman" w:hAnsi="Times New Roman" w:eastAsia="宋体" w:cs="Times New Roman"/>
                <w:snapToGrid w:val="0"/>
                <w:color w:val="auto"/>
                <w:kern w:val="0"/>
              </w:rPr>
              <w:t>kW</w:t>
            </w:r>
          </w:p>
        </w:tc>
      </w:tr>
    </w:tbl>
    <w:p w14:paraId="7754B50E">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供电电源</w:t>
      </w:r>
    </w:p>
    <w:p w14:paraId="76A3F0C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经过现场调查，本次设计污水处理站所处位置农村电网丰富，均能就近接入220V农村电网。</w:t>
      </w:r>
    </w:p>
    <w:p w14:paraId="76F9C575">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供电设计</w:t>
      </w:r>
    </w:p>
    <w:p w14:paraId="6CC022EE">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本次设计项目均为一体化处理设备，成套设备包含工艺设备、设备控制柜、设备内部连接管道及线缆等附件均由工艺设备厂家成套提供并集成于</w:t>
      </w:r>
      <w:r>
        <w:rPr>
          <w:rFonts w:hint="default" w:ascii="Times New Roman" w:hAnsi="Times New Roman" w:eastAsia="宋体" w:cs="Times New Roman"/>
          <w:snapToGrid w:val="0"/>
          <w:color w:val="auto"/>
          <w:kern w:val="0"/>
          <w:lang w:val="en-US" w:eastAsia="zh-CN"/>
        </w:rPr>
        <w:t>设备</w:t>
      </w:r>
      <w:r>
        <w:rPr>
          <w:rFonts w:hint="default" w:ascii="Times New Roman" w:hAnsi="Times New Roman" w:eastAsia="宋体" w:cs="Times New Roman"/>
          <w:snapToGrid w:val="0"/>
          <w:color w:val="auto"/>
          <w:kern w:val="0"/>
        </w:rPr>
        <w:t>外壳内。本次设计仅需考虑外部电源接入。采用架空线路就近接入农村电网。</w:t>
      </w:r>
    </w:p>
    <w:p w14:paraId="73DC3D4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防雷接地</w:t>
      </w:r>
    </w:p>
    <w:p w14:paraId="1A734A1F">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（1）项目防雷接地、工作接地、保护接地、控制系统接地采用共用接地体方式，要求共用接地体接地电阻值不大于</w:t>
      </w: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欧姆，并于成套设备内采用等电位联接。</w:t>
      </w:r>
    </w:p>
    <w:p w14:paraId="4441F30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（3）处理站所有外露金属管道、金属器件均应与箱体接地网可靠连接。</w:t>
      </w:r>
    </w:p>
    <w:p w14:paraId="1E13DD5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5、</w:t>
      </w:r>
      <w:r>
        <w:rPr>
          <w:rFonts w:hint="default" w:ascii="Times New Roman" w:hAnsi="Times New Roman" w:eastAsia="宋体" w:cs="Times New Roman"/>
          <w:snapToGrid w:val="0"/>
          <w:color w:val="auto"/>
          <w:kern w:val="0"/>
        </w:rPr>
        <w:t>电气抗震</w:t>
      </w:r>
    </w:p>
    <w:p w14:paraId="2EF4C1AF">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配电箱（柜）的安装：</w:t>
      </w:r>
    </w:p>
    <w:p w14:paraId="6C28D22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配电箱（柜）内的元器件应考虑与支承结构间的相互作用，元器件之间采用软连接，接线处应做防震处理；</w:t>
      </w:r>
    </w:p>
    <w:p w14:paraId="4C750188">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配电箱（柜）面上的仪表应与柜体组装牢固。</w:t>
      </w:r>
    </w:p>
    <w:p w14:paraId="736F3F51">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配电导体应符合下列规定：</w:t>
      </w:r>
    </w:p>
    <w:p w14:paraId="4C2A62D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采用电缆或电线；</w:t>
      </w:r>
    </w:p>
    <w:p w14:paraId="5A84320F">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在电缆桥架、电缆槽盒内敷设的缆线在引进、引出和转弯处，应在长度上留有余量；</w:t>
      </w:r>
    </w:p>
    <w:p w14:paraId="00B90CA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接地线应采取防止地震时被切断的措施。</w:t>
      </w:r>
    </w:p>
    <w:p w14:paraId="5E18B95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电气管路敷设时应符合下列规定：</w:t>
      </w:r>
    </w:p>
    <w:p w14:paraId="3DAAAEA3">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金属导管、刚性塑料导管的直线段部分每隔30m应设置伸缩节。</w:t>
      </w:r>
    </w:p>
    <w:p w14:paraId="2454C426">
      <w:pPr>
        <w:pStyle w:val="71"/>
        <w:snapToGrid/>
        <w:ind w:firstLine="480"/>
        <w:rPr>
          <w:rFonts w:hint="default" w:ascii="Times New Roman" w:hAnsi="Times New Roman" w:eastAsia="宋体" w:cs="Times New Roman"/>
          <w:b/>
          <w:bCs/>
          <w:snapToGrid w:val="0"/>
          <w:color w:val="auto"/>
          <w:kern w:val="0"/>
          <w:lang w:val="en-US" w:eastAsia="zh-CN"/>
        </w:rPr>
      </w:pPr>
    </w:p>
    <w:p w14:paraId="6B37DEE0">
      <w:pPr>
        <w:pStyle w:val="71"/>
        <w:snapToGrid/>
        <w:ind w:firstLine="480"/>
        <w:rPr>
          <w:rFonts w:hint="default" w:ascii="Times New Roman" w:hAnsi="Times New Roman" w:eastAsia="宋体" w:cs="Times New Roman"/>
          <w:b/>
          <w:bCs/>
          <w:snapToGrid w:val="0"/>
          <w:color w:val="auto"/>
          <w:kern w:val="0"/>
        </w:rPr>
      </w:pPr>
      <w:r>
        <w:rPr>
          <w:rFonts w:hint="default" w:ascii="Times New Roman" w:hAnsi="Times New Roman" w:eastAsia="宋体" w:cs="Times New Roman"/>
          <w:b/>
          <w:bCs/>
          <w:snapToGrid w:val="0"/>
          <w:color w:val="auto"/>
          <w:kern w:val="0"/>
          <w:lang w:val="en-US" w:eastAsia="zh-CN"/>
        </w:rPr>
        <w:t>6、</w:t>
      </w:r>
      <w:r>
        <w:rPr>
          <w:rFonts w:hint="default" w:ascii="Times New Roman" w:hAnsi="Times New Roman" w:eastAsia="宋体" w:cs="Times New Roman"/>
          <w:b/>
          <w:bCs/>
          <w:snapToGrid w:val="0"/>
          <w:color w:val="auto"/>
          <w:kern w:val="0"/>
        </w:rPr>
        <w:t>其他</w:t>
      </w:r>
    </w:p>
    <w:p w14:paraId="18350DD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凡与施工有关而又未说明之处，参见国家标准图集施工，或与设计院协商解决。</w:t>
      </w:r>
    </w:p>
    <w:p w14:paraId="29754CE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电气设备及管线的安装应符合国家现行的电气装置安装工程施工及验收规范。</w:t>
      </w:r>
    </w:p>
    <w:p w14:paraId="59599832">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5</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6</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本工程应满足GB51348-2019，3.2.1、3.2.8、3.3.4、4.10.1、8.1.6、9.4.5、11.8.8、12.4.10、12.4.14、12.5.8、14.4.3、14.9.4条的要求。</w:t>
      </w:r>
    </w:p>
    <w:p w14:paraId="07DE0655">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7</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在施工时应严格执行GB50303-2015、GB50617-2010等施工及验收规范的要求。</w:t>
      </w:r>
    </w:p>
    <w:p w14:paraId="09DA197D">
      <w:pPr>
        <w:pStyle w:val="71"/>
        <w:snapToGrid/>
        <w:ind w:firstLine="480"/>
        <w:rPr>
          <w:rFonts w:hint="default" w:ascii="Times New Roman" w:hAnsi="Times New Roman" w:eastAsia="宋体" w:cs="Times New Roman"/>
          <w:snapToGrid w:val="0"/>
          <w:color w:val="auto"/>
          <w:kern w:val="0"/>
          <w:lang w:eastAsia="zh-CN"/>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8</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本工程在厂家深化设计及提供的配套系统和施工时应严格执行《城镇给水排水技术规范》GB50788-2012第7.1、7.3、7.4节</w:t>
      </w:r>
      <w:r>
        <w:rPr>
          <w:rFonts w:hint="default" w:ascii="Times New Roman" w:hAnsi="Times New Roman" w:eastAsia="宋体" w:cs="Times New Roman"/>
          <w:snapToGrid w:val="0"/>
          <w:color w:val="auto"/>
          <w:kern w:val="0"/>
          <w:lang w:eastAsia="zh-CN"/>
        </w:rPr>
        <w:t>。</w:t>
      </w:r>
    </w:p>
    <w:p w14:paraId="1E5EED35">
      <w:pPr>
        <w:pStyle w:val="71"/>
        <w:snapToGrid/>
        <w:ind w:firstLine="480"/>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五、抗震论证专项说明</w:t>
      </w:r>
    </w:p>
    <w:p w14:paraId="698CBBA8">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一</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场地条件判断：根据地勘资料本项目所在地无不良地质构造，无液化土和软土地基等不良地质情况，适宜排水管道</w:t>
      </w:r>
      <w:r>
        <w:rPr>
          <w:rFonts w:hint="default" w:ascii="Times New Roman" w:hAnsi="Times New Roman" w:eastAsia="宋体" w:cs="Times New Roman"/>
          <w:snapToGrid w:val="0"/>
          <w:color w:val="auto"/>
          <w:kern w:val="0"/>
          <w:lang w:val="en-US" w:eastAsia="zh-CN"/>
        </w:rPr>
        <w:t>及污水站的</w:t>
      </w:r>
      <w:r>
        <w:rPr>
          <w:rFonts w:hint="default" w:ascii="Times New Roman" w:hAnsi="Times New Roman" w:eastAsia="宋体" w:cs="Times New Roman"/>
          <w:snapToGrid w:val="0"/>
          <w:color w:val="auto"/>
          <w:kern w:val="0"/>
        </w:rPr>
        <w:t>建设。</w:t>
      </w:r>
    </w:p>
    <w:p w14:paraId="34E1532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二</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本项目排水工程主要采用的管道结构及构造措施</w:t>
      </w:r>
    </w:p>
    <w:p w14:paraId="682BF23C">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本项目埋地污水管主要采用承插口连接，采用柔性接口方式，基础采用</w:t>
      </w:r>
      <w:r>
        <w:rPr>
          <w:rFonts w:hint="eastAsia" w:cs="Times New Roman"/>
          <w:snapToGrid w:val="0"/>
          <w:color w:val="auto"/>
          <w:kern w:val="0"/>
          <w:lang w:val="en-US" w:eastAsia="zh-CN"/>
        </w:rPr>
        <w:t>石粉（屑）</w:t>
      </w:r>
      <w:r>
        <w:rPr>
          <w:rFonts w:hint="default" w:ascii="Times New Roman" w:hAnsi="Times New Roman" w:eastAsia="宋体" w:cs="Times New Roman"/>
          <w:snapToGrid w:val="0"/>
          <w:color w:val="auto"/>
          <w:kern w:val="0"/>
        </w:rPr>
        <w:t>基础，附属构筑物为</w:t>
      </w:r>
      <w:r>
        <w:rPr>
          <w:rFonts w:hint="eastAsia" w:cs="Times New Roman"/>
          <w:snapToGrid w:val="0"/>
          <w:color w:val="auto"/>
          <w:kern w:val="0"/>
          <w:lang w:val="en-US" w:eastAsia="zh-CN"/>
        </w:rPr>
        <w:t>预制钢筋混凝土</w:t>
      </w:r>
      <w:r>
        <w:rPr>
          <w:rFonts w:hint="default" w:ascii="Times New Roman" w:hAnsi="Times New Roman" w:eastAsia="宋体" w:cs="Times New Roman"/>
          <w:snapToGrid w:val="0"/>
          <w:color w:val="auto"/>
          <w:kern w:val="0"/>
        </w:rPr>
        <w:t>检查井。</w:t>
      </w:r>
    </w:p>
    <w:p w14:paraId="364B3A1C">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EBDEBD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根据《室外给水排水和燃气热力工程抗震设计规范》(GB 50032</w:t>
      </w:r>
      <w:r>
        <w:rPr>
          <w:rFonts w:hint="default" w:ascii="Times New Roman" w:hAnsi="Times New Roman" w:eastAsia="宋体" w:cs="Times New Roman"/>
          <w:snapToGrid w:val="0"/>
          <w:color w:val="auto"/>
          <w:kern w:val="0"/>
          <w:lang w:val="en-US" w:eastAsia="zh-CN"/>
        </w:rPr>
        <w:t>-</w:t>
      </w:r>
      <w:r>
        <w:rPr>
          <w:rFonts w:hint="default" w:ascii="Times New Roman" w:hAnsi="Times New Roman" w:eastAsia="宋体" w:cs="Times New Roman"/>
          <w:snapToGrid w:val="0"/>
          <w:color w:val="auto"/>
          <w:kern w:val="0"/>
        </w:rPr>
        <w:t>2003)中10.1.4条的规定及抗震论证分析，本工程不对管道结构及检查井进行抗震验算。</w:t>
      </w:r>
    </w:p>
    <w:p w14:paraId="121C377F">
      <w:pPr>
        <w:pStyle w:val="71"/>
        <w:snapToGrid/>
        <w:ind w:firstLine="480"/>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六、“危大工程”专项说明</w:t>
      </w:r>
    </w:p>
    <w:p w14:paraId="0F5AC6C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1003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8"/>
        <w:gridCol w:w="3087"/>
        <w:gridCol w:w="2984"/>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68" w:type="dxa"/>
          </w:tcPr>
          <w:p w14:paraId="01B5F30F">
            <w:pPr>
              <w:pStyle w:val="115"/>
              <w:spacing w:before="175"/>
              <w:ind w:left="165"/>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危险性分类</w:t>
            </w:r>
          </w:p>
        </w:tc>
        <w:tc>
          <w:tcPr>
            <w:tcW w:w="3087" w:type="dxa"/>
          </w:tcPr>
          <w:p w14:paraId="799A9D22">
            <w:pPr>
              <w:pStyle w:val="115"/>
              <w:spacing w:before="175"/>
              <w:ind w:left="718"/>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分部分项工程范围</w:t>
            </w:r>
          </w:p>
        </w:tc>
        <w:tc>
          <w:tcPr>
            <w:tcW w:w="2984" w:type="dxa"/>
          </w:tcPr>
          <w:p w14:paraId="640CF5B4">
            <w:pPr>
              <w:pStyle w:val="115"/>
              <w:spacing w:before="175"/>
              <w:ind w:left="470"/>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对应本工程范围识别</w:t>
            </w:r>
          </w:p>
        </w:tc>
        <w:tc>
          <w:tcPr>
            <w:tcW w:w="2693" w:type="dxa"/>
          </w:tcPr>
          <w:p w14:paraId="3EC4EF43">
            <w:pPr>
              <w:pStyle w:val="115"/>
              <w:spacing w:before="19"/>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对工程周边环境安全和工</w:t>
            </w:r>
          </w:p>
          <w:p w14:paraId="61C99744">
            <w:pPr>
              <w:pStyle w:val="115"/>
              <w:spacing w:before="43"/>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268" w:type="dxa"/>
            <w:vMerge w:val="restart"/>
          </w:tcPr>
          <w:p w14:paraId="696C0BD0">
            <w:pPr>
              <w:pStyle w:val="115"/>
              <w:rPr>
                <w:rFonts w:hint="default" w:ascii="Times New Roman" w:hAnsi="Times New Roman" w:eastAsia="宋体" w:cs="Times New Roman"/>
                <w:color w:val="auto"/>
                <w:sz w:val="20"/>
              </w:rPr>
            </w:pPr>
          </w:p>
          <w:p w14:paraId="143A39B8">
            <w:pPr>
              <w:pStyle w:val="115"/>
              <w:rPr>
                <w:rFonts w:hint="default" w:ascii="Times New Roman" w:hAnsi="Times New Roman" w:eastAsia="宋体" w:cs="Times New Roman"/>
                <w:color w:val="auto"/>
                <w:sz w:val="20"/>
              </w:rPr>
            </w:pPr>
          </w:p>
          <w:p w14:paraId="1400E83F">
            <w:pPr>
              <w:pStyle w:val="115"/>
              <w:rPr>
                <w:rFonts w:hint="default" w:ascii="Times New Roman" w:hAnsi="Times New Roman" w:eastAsia="宋体" w:cs="Times New Roman"/>
                <w:color w:val="auto"/>
                <w:sz w:val="20"/>
              </w:rPr>
            </w:pPr>
          </w:p>
          <w:p w14:paraId="750E4CC0">
            <w:pPr>
              <w:pStyle w:val="115"/>
              <w:spacing w:before="1"/>
              <w:rPr>
                <w:rFonts w:hint="default" w:ascii="Times New Roman" w:hAnsi="Times New Roman" w:eastAsia="宋体" w:cs="Times New Roman"/>
                <w:color w:val="auto"/>
                <w:sz w:val="29"/>
              </w:rPr>
            </w:pPr>
          </w:p>
          <w:p w14:paraId="301C5718">
            <w:pPr>
              <w:pStyle w:val="115"/>
              <w:spacing w:before="1" w:line="278" w:lineRule="auto"/>
              <w:ind w:left="165" w:right="151"/>
              <w:jc w:val="both"/>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危险性较大的分部分项工程范围</w:t>
            </w:r>
          </w:p>
        </w:tc>
        <w:tc>
          <w:tcPr>
            <w:tcW w:w="3087" w:type="dxa"/>
          </w:tcPr>
          <w:p w14:paraId="5CF59CAA">
            <w:pPr>
              <w:pStyle w:val="115"/>
              <w:spacing w:before="9"/>
              <w:rPr>
                <w:rFonts w:hint="default" w:ascii="Times New Roman" w:hAnsi="Times New Roman" w:eastAsia="宋体" w:cs="Times New Roman"/>
                <w:color w:val="auto"/>
                <w:sz w:val="15"/>
              </w:rPr>
            </w:pPr>
          </w:p>
          <w:p w14:paraId="2DA1CEB8">
            <w:pPr>
              <w:pStyle w:val="115"/>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土方开挖工程</w:t>
            </w:r>
          </w:p>
          <w:p w14:paraId="4229371A">
            <w:pPr>
              <w:pStyle w:val="115"/>
              <w:spacing w:before="43" w:line="278" w:lineRule="auto"/>
              <w:ind w:right="165"/>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8"/>
                <w:sz w:val="21"/>
              </w:rPr>
              <w:t xml:space="preserve">开挖深度超过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27"/>
                <w:sz w:val="21"/>
              </w:rPr>
              <w:t xml:space="preserve">含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8"/>
                <w:sz w:val="21"/>
              </w:rPr>
              <w:t>的基</w:t>
            </w:r>
            <w:r>
              <w:rPr>
                <w:rFonts w:hint="default" w:ascii="Times New Roman" w:hAnsi="Times New Roman" w:eastAsia="宋体" w:cs="Times New Roman"/>
                <w:color w:val="auto"/>
                <w:sz w:val="21"/>
              </w:rPr>
              <w:t>坑（槽）的土方开挖工程。</w:t>
            </w:r>
          </w:p>
        </w:tc>
        <w:tc>
          <w:tcPr>
            <w:tcW w:w="2984" w:type="dxa"/>
          </w:tcPr>
          <w:p w14:paraId="59F437B3">
            <w:pPr>
              <w:pStyle w:val="115"/>
              <w:spacing w:before="9"/>
              <w:rPr>
                <w:rFonts w:hint="default" w:ascii="Times New Roman" w:hAnsi="Times New Roman" w:eastAsia="宋体" w:cs="Times New Roman"/>
                <w:color w:val="auto"/>
                <w:sz w:val="15"/>
              </w:rPr>
            </w:pPr>
          </w:p>
          <w:p w14:paraId="50B94A29">
            <w:pPr>
              <w:pStyle w:val="115"/>
              <w:spacing w:line="278" w:lineRule="auto"/>
              <w:ind w:left="107" w:right="-15"/>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6"/>
                <w:sz w:val="21"/>
                <w:lang w:val="en-US" w:eastAsia="zh-CN"/>
              </w:rPr>
              <w:t>污水处理站</w:t>
            </w:r>
            <w:r>
              <w:rPr>
                <w:rFonts w:hint="default" w:ascii="Times New Roman" w:hAnsi="Times New Roman" w:eastAsia="宋体" w:cs="Times New Roman"/>
                <w:color w:val="auto"/>
                <w:spacing w:val="-6"/>
                <w:sz w:val="21"/>
              </w:rPr>
              <w:t xml:space="preserve">基坑开挖深度大于 </w:t>
            </w:r>
            <w:r>
              <w:rPr>
                <w:rFonts w:hint="default" w:ascii="Times New Roman" w:hAnsi="Times New Roman" w:eastAsia="宋体" w:cs="Times New Roman"/>
                <w:color w:val="auto"/>
                <w:sz w:val="21"/>
              </w:rPr>
              <w:t>3</w:t>
            </w:r>
            <w:r>
              <w:rPr>
                <w:rFonts w:hint="default" w:ascii="Times New Roman" w:hAnsi="Times New Roman" w:eastAsia="宋体" w:cs="Times New Roman"/>
                <w:color w:val="auto"/>
                <w:spacing w:val="-22"/>
                <w:sz w:val="21"/>
              </w:rPr>
              <w:t xml:space="preserve"> 米， </w:t>
            </w:r>
            <w:r>
              <w:rPr>
                <w:rFonts w:hint="default" w:ascii="Times New Roman" w:hAnsi="Times New Roman" w:eastAsia="宋体" w:cs="Times New Roman"/>
                <w:color w:val="auto"/>
                <w:sz w:val="21"/>
              </w:rPr>
              <w:t>且采用放坡开挖的管道沟</w:t>
            </w:r>
          </w:p>
          <w:p w14:paraId="4CF16BD5">
            <w:pPr>
              <w:pStyle w:val="115"/>
              <w:spacing w:line="269" w:lineRule="exact"/>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槽。</w:t>
            </w:r>
          </w:p>
        </w:tc>
        <w:tc>
          <w:tcPr>
            <w:tcW w:w="2693" w:type="dxa"/>
            <w:vMerge w:val="restart"/>
          </w:tcPr>
          <w:p w14:paraId="6D183558">
            <w:pPr>
              <w:pStyle w:val="115"/>
              <w:spacing w:before="9" w:line="310" w:lineRule="atLeast"/>
              <w:ind w:left="105" w:right="98" w:firstLine="4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施工单位应当在危大工程施工前组织工程技术</w:t>
            </w:r>
            <w:r>
              <w:rPr>
                <w:rFonts w:hint="default" w:ascii="Times New Roman" w:hAnsi="Times New Roman" w:eastAsia="宋体" w:cs="Times New Roman"/>
                <w:color w:val="auto"/>
                <w:spacing w:val="-5"/>
                <w:sz w:val="21"/>
              </w:rPr>
              <w:t>人员编制专项施工方案。此</w:t>
            </w:r>
            <w:r>
              <w:rPr>
                <w:rFonts w:hint="default" w:ascii="Times New Roman" w:hAnsi="Times New Roman" w:eastAsia="宋体" w:cs="Times New Roman"/>
                <w:color w:val="auto"/>
                <w:spacing w:val="-9"/>
                <w:sz w:val="21"/>
              </w:rPr>
              <w:t>外，还需严格遵循《市政工程施工组织设计规范》</w:t>
            </w:r>
            <w:r>
              <w:rPr>
                <w:rFonts w:hint="default" w:ascii="Times New Roman" w:hAnsi="Times New Roman" w:eastAsia="宋体" w:cs="Times New Roman"/>
                <w:color w:val="auto"/>
                <w:spacing w:val="-62"/>
                <w:sz w:val="21"/>
              </w:rPr>
              <w:t>、《城</w:t>
            </w:r>
            <w:r>
              <w:rPr>
                <w:rFonts w:hint="default" w:ascii="Times New Roman" w:hAnsi="Times New Roman" w:eastAsia="宋体" w:cs="Times New Roman"/>
                <w:color w:val="auto"/>
                <w:sz w:val="21"/>
              </w:rPr>
              <w:t>镇排水管道维护安全技术</w:t>
            </w:r>
            <w:r>
              <w:rPr>
                <w:rFonts w:hint="default" w:ascii="Times New Roman" w:hAnsi="Times New Roman" w:eastAsia="宋体" w:cs="Times New Roman"/>
                <w:color w:val="auto"/>
                <w:spacing w:val="-8"/>
                <w:sz w:val="21"/>
              </w:rPr>
              <w:t>规程》、《城镇排水管渠与泵站运行、维护及安全技术规程》以及国家现行相关法</w:t>
            </w:r>
            <w:r>
              <w:rPr>
                <w:rFonts w:hint="default" w:ascii="Times New Roman" w:hAnsi="Times New Roman" w:eastAsia="宋体" w:cs="Times New Roman"/>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268" w:type="dxa"/>
            <w:vMerge w:val="continue"/>
          </w:tcPr>
          <w:p w14:paraId="1DB4508A">
            <w:pPr>
              <w:rPr>
                <w:rFonts w:hint="default" w:ascii="Times New Roman" w:hAnsi="Times New Roman" w:eastAsia="宋体" w:cs="Times New Roman"/>
                <w:color w:val="auto"/>
                <w:sz w:val="2"/>
                <w:szCs w:val="2"/>
              </w:rPr>
            </w:pPr>
          </w:p>
        </w:tc>
        <w:tc>
          <w:tcPr>
            <w:tcW w:w="3087" w:type="dxa"/>
          </w:tcPr>
          <w:p w14:paraId="5F122CBB">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起重吊装及安装拆卸工程</w:t>
            </w:r>
          </w:p>
          <w:p w14:paraId="50E13B6E">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2"/>
                <w:sz w:val="21"/>
                <w:lang w:val="en-US" w:eastAsia="zh-CN"/>
              </w:rPr>
              <w:t>1.</w:t>
            </w:r>
            <w:r>
              <w:rPr>
                <w:rFonts w:hint="default" w:ascii="Times New Roman" w:hAnsi="Times New Roman" w:eastAsia="宋体" w:cs="Times New Roman"/>
                <w:color w:val="auto"/>
                <w:spacing w:val="-2"/>
                <w:sz w:val="21"/>
              </w:rPr>
              <w:t xml:space="preserve">采用非常规起重设备、方法， </w:t>
            </w:r>
            <w:r>
              <w:rPr>
                <w:rFonts w:hint="default" w:ascii="Times New Roman" w:hAnsi="Times New Roman" w:eastAsia="宋体" w:cs="Times New Roman"/>
                <w:color w:val="auto"/>
                <w:spacing w:val="-6"/>
                <w:sz w:val="21"/>
              </w:rPr>
              <w:t xml:space="preserve">且单件起吊重量在 </w:t>
            </w:r>
            <w:r>
              <w:rPr>
                <w:rFonts w:hint="default" w:ascii="Times New Roman" w:hAnsi="Times New Roman" w:eastAsia="宋体" w:cs="Times New Roman"/>
                <w:color w:val="auto"/>
                <w:sz w:val="21"/>
              </w:rPr>
              <w:t>10kN</w:t>
            </w:r>
            <w:r>
              <w:rPr>
                <w:rFonts w:hint="default" w:ascii="Times New Roman" w:hAnsi="Times New Roman" w:eastAsia="宋体" w:cs="Times New Roman"/>
                <w:color w:val="auto"/>
                <w:spacing w:val="-14"/>
                <w:sz w:val="21"/>
              </w:rPr>
              <w:t xml:space="preserve"> 及以上的起重吊装工程。</w:t>
            </w:r>
          </w:p>
          <w:p w14:paraId="6D724C81">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14"/>
                <w:sz w:val="21"/>
              </w:rPr>
              <w:t>2.采用起重机械进行安装的工程。</w:t>
            </w:r>
          </w:p>
          <w:p w14:paraId="226BDDD2">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3.起重机械设备自身的安装、拆</w:t>
            </w:r>
          </w:p>
          <w:p w14:paraId="280E5030">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z w:val="21"/>
              </w:rPr>
              <w:t>卸。</w:t>
            </w:r>
          </w:p>
        </w:tc>
        <w:tc>
          <w:tcPr>
            <w:tcW w:w="2984" w:type="dxa"/>
          </w:tcPr>
          <w:p w14:paraId="095249FA">
            <w:pPr>
              <w:pStyle w:val="115"/>
              <w:rPr>
                <w:rFonts w:hint="default" w:ascii="Times New Roman" w:hAnsi="Times New Roman" w:eastAsia="宋体" w:cs="Times New Roman"/>
                <w:color w:val="auto"/>
                <w:sz w:val="20"/>
              </w:rPr>
            </w:pPr>
          </w:p>
          <w:p w14:paraId="4AD431FD">
            <w:pPr>
              <w:pStyle w:val="115"/>
              <w:rPr>
                <w:rFonts w:hint="default" w:ascii="Times New Roman" w:hAnsi="Times New Roman" w:eastAsia="宋体" w:cs="Times New Roman"/>
                <w:color w:val="auto"/>
                <w:sz w:val="20"/>
              </w:rPr>
            </w:pPr>
          </w:p>
          <w:p w14:paraId="0D4B401E">
            <w:pPr>
              <w:pStyle w:val="115"/>
              <w:spacing w:before="5"/>
              <w:rPr>
                <w:rFonts w:hint="default" w:ascii="Times New Roman" w:hAnsi="Times New Roman" w:eastAsia="宋体" w:cs="Times New Roman"/>
                <w:color w:val="auto"/>
                <w:sz w:val="22"/>
              </w:rPr>
            </w:pPr>
          </w:p>
          <w:p w14:paraId="78A22D08">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整体设备吊装。</w:t>
            </w:r>
          </w:p>
        </w:tc>
        <w:tc>
          <w:tcPr>
            <w:tcW w:w="2693" w:type="dxa"/>
            <w:vMerge w:val="continue"/>
          </w:tcPr>
          <w:p w14:paraId="71CD96D0">
            <w:pPr>
              <w:rPr>
                <w:rFonts w:hint="default" w:ascii="Times New Roman" w:hAnsi="Times New Roman" w:eastAsia="宋体" w:cs="Times New Roman"/>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268" w:type="dxa"/>
            <w:vMerge w:val="continue"/>
          </w:tcPr>
          <w:p w14:paraId="125793CE">
            <w:pPr>
              <w:rPr>
                <w:rFonts w:hint="default" w:ascii="Times New Roman" w:hAnsi="Times New Roman" w:eastAsia="宋体" w:cs="Times New Roman"/>
                <w:color w:val="auto"/>
                <w:sz w:val="2"/>
                <w:szCs w:val="2"/>
              </w:rPr>
            </w:pPr>
          </w:p>
        </w:tc>
        <w:tc>
          <w:tcPr>
            <w:tcW w:w="3087" w:type="dxa"/>
          </w:tcPr>
          <w:p w14:paraId="5F67DC30">
            <w:pPr>
              <w:pStyle w:val="115"/>
              <w:spacing w:before="19"/>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模板工程及支撑体系</w:t>
            </w:r>
          </w:p>
          <w:p w14:paraId="4B09F323">
            <w:pPr>
              <w:pStyle w:val="115"/>
              <w:numPr>
                <w:ilvl w:val="0"/>
                <w:numId w:val="0"/>
              </w:numPr>
              <w:spacing w:before="2" w:line="310" w:lineRule="atLeast"/>
              <w:ind w:right="60" w:rightChars="0"/>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11"/>
                <w:sz w:val="21"/>
              </w:rPr>
              <w:t xml:space="preserve">搭设高度 </w:t>
            </w:r>
            <w:r>
              <w:rPr>
                <w:rFonts w:hint="default" w:ascii="Times New Roman" w:hAnsi="Times New Roman" w:eastAsia="宋体" w:cs="Times New Roman"/>
                <w:color w:val="auto"/>
                <w:sz w:val="21"/>
              </w:rPr>
              <w:t>5m</w:t>
            </w:r>
            <w:r>
              <w:rPr>
                <w:rFonts w:hint="default" w:ascii="Times New Roman" w:hAnsi="Times New Roman" w:eastAsia="宋体" w:cs="Times New Roman"/>
                <w:color w:val="auto"/>
                <w:spacing w:val="-9"/>
                <w:sz w:val="21"/>
              </w:rPr>
              <w:t xml:space="preserve"> 及以上的混凝土模</w:t>
            </w:r>
            <w:r>
              <w:rPr>
                <w:rFonts w:hint="default" w:ascii="Times New Roman" w:hAnsi="Times New Roman" w:eastAsia="宋体" w:cs="Times New Roman"/>
                <w:color w:val="auto"/>
                <w:sz w:val="21"/>
              </w:rPr>
              <w:t>板</w:t>
            </w:r>
          </w:p>
        </w:tc>
        <w:tc>
          <w:tcPr>
            <w:tcW w:w="2984" w:type="dxa"/>
          </w:tcPr>
          <w:p w14:paraId="1D8FED7B">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检查井、跌水井等构筑物的模板工程</w:t>
            </w:r>
          </w:p>
        </w:tc>
        <w:tc>
          <w:tcPr>
            <w:tcW w:w="2693" w:type="dxa"/>
            <w:vMerge w:val="continue"/>
          </w:tcPr>
          <w:p w14:paraId="577327B9">
            <w:pPr>
              <w:rPr>
                <w:rFonts w:hint="default" w:ascii="Times New Roman" w:hAnsi="Times New Roman" w:eastAsia="宋体" w:cs="Times New Roman"/>
                <w:color w:val="auto"/>
                <w:sz w:val="2"/>
                <w:szCs w:val="2"/>
              </w:rPr>
            </w:pPr>
          </w:p>
        </w:tc>
      </w:tr>
    </w:tbl>
    <w:p w14:paraId="7D464FE8">
      <w:pPr>
        <w:pStyle w:val="71"/>
        <w:snapToGrid/>
        <w:ind w:firstLine="480"/>
        <w:rPr>
          <w:rFonts w:hint="eastAsia" w:ascii="Times New Roman" w:hAnsi="Times New Roman" w:eastAsia="宋体" w:cs="Times New Roman"/>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26.03</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snapToGrid w:val="0"/>
        <w:kern w:val="0"/>
        <w:sz w:val="21"/>
        <w:szCs w:val="21"/>
        <w:highlight w:val="none"/>
        <w:lang w:val="en-US" w:eastAsia="zh-CN"/>
      </w:rPr>
      <w:t xml:space="preserve"> </w:t>
    </w:r>
    <w:r>
      <w:rPr>
        <w:rFonts w:hint="default" w:ascii="宋体" w:hAnsi="宋体" w:eastAsia="宋体" w:cs="Times New Roman"/>
        <w:b/>
        <w:bCs/>
        <w:snapToGrid w:val="0"/>
        <w:kern w:val="0"/>
        <w:sz w:val="21"/>
        <w:szCs w:val="21"/>
        <w:lang w:val="en-US" w:eastAsia="zh-CN"/>
      </w:rPr>
      <w:t>里高镇果郎村果郎屯生活污水处理项目</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404653"/>
    <w:rsid w:val="016F283F"/>
    <w:rsid w:val="021E2E86"/>
    <w:rsid w:val="02A25AF1"/>
    <w:rsid w:val="03234ECC"/>
    <w:rsid w:val="036057A9"/>
    <w:rsid w:val="04B604E0"/>
    <w:rsid w:val="04CE42F4"/>
    <w:rsid w:val="04EB6681"/>
    <w:rsid w:val="052238F1"/>
    <w:rsid w:val="05295E06"/>
    <w:rsid w:val="058A4BA6"/>
    <w:rsid w:val="06053772"/>
    <w:rsid w:val="06385565"/>
    <w:rsid w:val="067D42C5"/>
    <w:rsid w:val="06825BC8"/>
    <w:rsid w:val="07536EF0"/>
    <w:rsid w:val="07692A3F"/>
    <w:rsid w:val="07C136C9"/>
    <w:rsid w:val="081A317C"/>
    <w:rsid w:val="085D509A"/>
    <w:rsid w:val="085D5A38"/>
    <w:rsid w:val="08662BDA"/>
    <w:rsid w:val="0871260D"/>
    <w:rsid w:val="08C90A87"/>
    <w:rsid w:val="08D51E2B"/>
    <w:rsid w:val="08F024B8"/>
    <w:rsid w:val="093E76C7"/>
    <w:rsid w:val="0A4A1C71"/>
    <w:rsid w:val="0A640A8D"/>
    <w:rsid w:val="0A960A6B"/>
    <w:rsid w:val="0AD442C1"/>
    <w:rsid w:val="0B424B21"/>
    <w:rsid w:val="0B45776E"/>
    <w:rsid w:val="0B6E3E9B"/>
    <w:rsid w:val="0B8441A0"/>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2053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CB1E1D"/>
    <w:rsid w:val="18EB43EE"/>
    <w:rsid w:val="198704A9"/>
    <w:rsid w:val="19915C39"/>
    <w:rsid w:val="19A13696"/>
    <w:rsid w:val="19BA76AA"/>
    <w:rsid w:val="1A0B6E3B"/>
    <w:rsid w:val="1A264176"/>
    <w:rsid w:val="1A766595"/>
    <w:rsid w:val="1A7D4B85"/>
    <w:rsid w:val="1B745D3C"/>
    <w:rsid w:val="1BD53553"/>
    <w:rsid w:val="1C037E84"/>
    <w:rsid w:val="1C0814D0"/>
    <w:rsid w:val="1D5D528E"/>
    <w:rsid w:val="1DA03128"/>
    <w:rsid w:val="1DBE2CC9"/>
    <w:rsid w:val="1DF41EBB"/>
    <w:rsid w:val="1E5C5062"/>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32507A"/>
    <w:rsid w:val="22974636"/>
    <w:rsid w:val="23214A2A"/>
    <w:rsid w:val="2329714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514FEB"/>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294728"/>
    <w:rsid w:val="2FB06ABD"/>
    <w:rsid w:val="2FF16036"/>
    <w:rsid w:val="30C51814"/>
    <w:rsid w:val="30FA1876"/>
    <w:rsid w:val="31AE7611"/>
    <w:rsid w:val="31C33E28"/>
    <w:rsid w:val="31CD1F13"/>
    <w:rsid w:val="31CD6F8B"/>
    <w:rsid w:val="31E87920"/>
    <w:rsid w:val="321D5203"/>
    <w:rsid w:val="326F1DF0"/>
    <w:rsid w:val="32DA2543"/>
    <w:rsid w:val="337F131A"/>
    <w:rsid w:val="33AB19A1"/>
    <w:rsid w:val="33EA3E58"/>
    <w:rsid w:val="33ED0FA4"/>
    <w:rsid w:val="349A34DB"/>
    <w:rsid w:val="34AC4971"/>
    <w:rsid w:val="350C0143"/>
    <w:rsid w:val="35167599"/>
    <w:rsid w:val="352A13FA"/>
    <w:rsid w:val="358856A2"/>
    <w:rsid w:val="358F6F80"/>
    <w:rsid w:val="35A2652B"/>
    <w:rsid w:val="35AA2525"/>
    <w:rsid w:val="36343134"/>
    <w:rsid w:val="36EE7787"/>
    <w:rsid w:val="373D6C80"/>
    <w:rsid w:val="37666470"/>
    <w:rsid w:val="379E4EE8"/>
    <w:rsid w:val="37DA2CD3"/>
    <w:rsid w:val="380940FC"/>
    <w:rsid w:val="38831C04"/>
    <w:rsid w:val="38B15D8D"/>
    <w:rsid w:val="38C26FCA"/>
    <w:rsid w:val="38EE3475"/>
    <w:rsid w:val="39877F1F"/>
    <w:rsid w:val="39D508B4"/>
    <w:rsid w:val="3A08448F"/>
    <w:rsid w:val="3AA07E59"/>
    <w:rsid w:val="3ABD411D"/>
    <w:rsid w:val="3AE84675"/>
    <w:rsid w:val="3B3103B6"/>
    <w:rsid w:val="3BA00474"/>
    <w:rsid w:val="3BA548E8"/>
    <w:rsid w:val="3C111A19"/>
    <w:rsid w:val="3D615EC3"/>
    <w:rsid w:val="3DB76351"/>
    <w:rsid w:val="3DCF2C73"/>
    <w:rsid w:val="3E0456CC"/>
    <w:rsid w:val="3E1C6E8A"/>
    <w:rsid w:val="3EE610CB"/>
    <w:rsid w:val="3EFF4804"/>
    <w:rsid w:val="3F135889"/>
    <w:rsid w:val="3F740A45"/>
    <w:rsid w:val="402E3A57"/>
    <w:rsid w:val="411424E0"/>
    <w:rsid w:val="412B2133"/>
    <w:rsid w:val="41B31B93"/>
    <w:rsid w:val="42415A41"/>
    <w:rsid w:val="424614E3"/>
    <w:rsid w:val="4278399C"/>
    <w:rsid w:val="43281856"/>
    <w:rsid w:val="435C1F1C"/>
    <w:rsid w:val="43911EEB"/>
    <w:rsid w:val="43ED3E46"/>
    <w:rsid w:val="45034073"/>
    <w:rsid w:val="4517259F"/>
    <w:rsid w:val="45BE5803"/>
    <w:rsid w:val="46607F75"/>
    <w:rsid w:val="46731A57"/>
    <w:rsid w:val="468E2DF0"/>
    <w:rsid w:val="47777325"/>
    <w:rsid w:val="477828A6"/>
    <w:rsid w:val="485C5346"/>
    <w:rsid w:val="486C2146"/>
    <w:rsid w:val="48D25ED1"/>
    <w:rsid w:val="492E6109"/>
    <w:rsid w:val="49365EBF"/>
    <w:rsid w:val="4A1E7F2C"/>
    <w:rsid w:val="4AED5861"/>
    <w:rsid w:val="4B6A71C8"/>
    <w:rsid w:val="4B6F75BB"/>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A70A76"/>
    <w:rsid w:val="51F74A60"/>
    <w:rsid w:val="521B61D4"/>
    <w:rsid w:val="529F2C8A"/>
    <w:rsid w:val="52A36879"/>
    <w:rsid w:val="52F74381"/>
    <w:rsid w:val="52F92B19"/>
    <w:rsid w:val="538C4198"/>
    <w:rsid w:val="544662D1"/>
    <w:rsid w:val="54586543"/>
    <w:rsid w:val="54722618"/>
    <w:rsid w:val="54AB5C18"/>
    <w:rsid w:val="54D74114"/>
    <w:rsid w:val="55216D61"/>
    <w:rsid w:val="554F6418"/>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AC283A"/>
    <w:rsid w:val="58B804A7"/>
    <w:rsid w:val="58E22142"/>
    <w:rsid w:val="5945614E"/>
    <w:rsid w:val="59485E82"/>
    <w:rsid w:val="59723D50"/>
    <w:rsid w:val="598900F2"/>
    <w:rsid w:val="59A65F9A"/>
    <w:rsid w:val="5AA61FA3"/>
    <w:rsid w:val="5AA70156"/>
    <w:rsid w:val="5AC24977"/>
    <w:rsid w:val="5C565CD1"/>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487BBF"/>
    <w:rsid w:val="657D3011"/>
    <w:rsid w:val="65871A77"/>
    <w:rsid w:val="65F406D1"/>
    <w:rsid w:val="66675726"/>
    <w:rsid w:val="66A21CEA"/>
    <w:rsid w:val="66AE1BA0"/>
    <w:rsid w:val="66E04258"/>
    <w:rsid w:val="66F818FB"/>
    <w:rsid w:val="679C0226"/>
    <w:rsid w:val="67F30197"/>
    <w:rsid w:val="68255344"/>
    <w:rsid w:val="68D62580"/>
    <w:rsid w:val="68E34F08"/>
    <w:rsid w:val="69214FBE"/>
    <w:rsid w:val="694974FD"/>
    <w:rsid w:val="694E0D13"/>
    <w:rsid w:val="69E77B0D"/>
    <w:rsid w:val="69ED3B18"/>
    <w:rsid w:val="6A4D7BF3"/>
    <w:rsid w:val="6A53447E"/>
    <w:rsid w:val="6A9811DC"/>
    <w:rsid w:val="6AAE3F86"/>
    <w:rsid w:val="6AE52674"/>
    <w:rsid w:val="6B01589B"/>
    <w:rsid w:val="6B623CC4"/>
    <w:rsid w:val="6B6D29CC"/>
    <w:rsid w:val="6B7845E0"/>
    <w:rsid w:val="6BB6497D"/>
    <w:rsid w:val="6BC90267"/>
    <w:rsid w:val="6C663887"/>
    <w:rsid w:val="6CA43025"/>
    <w:rsid w:val="6D233C50"/>
    <w:rsid w:val="6D410A20"/>
    <w:rsid w:val="6D583CC9"/>
    <w:rsid w:val="6D5F15C9"/>
    <w:rsid w:val="6D855A48"/>
    <w:rsid w:val="6E1B3FDF"/>
    <w:rsid w:val="6E3B20F7"/>
    <w:rsid w:val="6E5B2C4D"/>
    <w:rsid w:val="6EA50F15"/>
    <w:rsid w:val="6EC64319"/>
    <w:rsid w:val="6F073538"/>
    <w:rsid w:val="6F1C23DC"/>
    <w:rsid w:val="6F1D15BF"/>
    <w:rsid w:val="6F616041"/>
    <w:rsid w:val="6FDD7DBD"/>
    <w:rsid w:val="704F50FD"/>
    <w:rsid w:val="70D32F6E"/>
    <w:rsid w:val="70DA42FD"/>
    <w:rsid w:val="715300CA"/>
    <w:rsid w:val="71631801"/>
    <w:rsid w:val="71C92D3B"/>
    <w:rsid w:val="71E45191"/>
    <w:rsid w:val="7230186D"/>
    <w:rsid w:val="72420985"/>
    <w:rsid w:val="72C70C29"/>
    <w:rsid w:val="72FC52BF"/>
    <w:rsid w:val="735F40D6"/>
    <w:rsid w:val="74084178"/>
    <w:rsid w:val="742A3BBB"/>
    <w:rsid w:val="74964153"/>
    <w:rsid w:val="752175BA"/>
    <w:rsid w:val="758D3B14"/>
    <w:rsid w:val="75D615E0"/>
    <w:rsid w:val="75F0310B"/>
    <w:rsid w:val="75F34F11"/>
    <w:rsid w:val="760630B0"/>
    <w:rsid w:val="76AF7FDA"/>
    <w:rsid w:val="770A4EDC"/>
    <w:rsid w:val="77644920"/>
    <w:rsid w:val="7770053A"/>
    <w:rsid w:val="787A3217"/>
    <w:rsid w:val="7899684C"/>
    <w:rsid w:val="78B0289F"/>
    <w:rsid w:val="78B517E1"/>
    <w:rsid w:val="78D14FC6"/>
    <w:rsid w:val="795D3D1D"/>
    <w:rsid w:val="796338E5"/>
    <w:rsid w:val="79763919"/>
    <w:rsid w:val="79817A0B"/>
    <w:rsid w:val="79857B6F"/>
    <w:rsid w:val="79C56A5F"/>
    <w:rsid w:val="79CB2893"/>
    <w:rsid w:val="79CC7F63"/>
    <w:rsid w:val="79E11C7D"/>
    <w:rsid w:val="7A073617"/>
    <w:rsid w:val="7A173AE4"/>
    <w:rsid w:val="7B431D92"/>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5</Pages>
  <Words>7089</Words>
  <Characters>8153</Characters>
  <Lines>35</Lines>
  <Paragraphs>10</Paragraphs>
  <TotalTime>4</TotalTime>
  <ScaleCrop>false</ScaleCrop>
  <LinksUpToDate>false</LinksUpToDate>
  <CharactersWithSpaces>8194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K</cp:lastModifiedBy>
  <cp:lastPrinted>2021-10-23T14:55:00Z</cp:lastPrinted>
  <dcterms:modified xsi:type="dcterms:W3CDTF">2026-03-20T03:47:53Z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B54B23E570994DBABFB6A71DE70AF069_13</vt:lpwstr>
  </property>
  <property fmtid="{D5CDD505-2E9C-101B-9397-08002B2CF9AE}" pid="4" name="KSOTemplateDocerSaveRecord">
    <vt:lpwstr>eyJoZGlkIjoiNGNhOTdiN2QyNGViM2RkY2ZkMjljODVmMmNiMTJkN2UiLCJ1c2VySWQiOiI1NTc4MDAwNDUifQ==</vt:lpwstr>
  </property>
</Properties>
</file>